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235EB">
      <w:pPr>
        <w:rPr>
          <w:color w:val="auto"/>
          <w:highlight w:val="none"/>
        </w:rPr>
      </w:pPr>
    </w:p>
    <w:tbl>
      <w:tblPr>
        <w:tblStyle w:val="12"/>
        <w:tblW w:w="4895" w:type="pct"/>
        <w:jc w:val="center"/>
        <w:tblLayout w:type="autofit"/>
        <w:tblCellMar>
          <w:top w:w="0" w:type="dxa"/>
          <w:left w:w="108" w:type="dxa"/>
          <w:bottom w:w="0" w:type="dxa"/>
          <w:right w:w="108" w:type="dxa"/>
        </w:tblCellMar>
      </w:tblPr>
      <w:tblGrid>
        <w:gridCol w:w="3265"/>
        <w:gridCol w:w="5830"/>
      </w:tblGrid>
      <w:tr w14:paraId="7D95A1F7">
        <w:tblPrEx>
          <w:tblCellMar>
            <w:top w:w="0" w:type="dxa"/>
            <w:left w:w="108" w:type="dxa"/>
            <w:bottom w:w="0" w:type="dxa"/>
            <w:right w:w="108" w:type="dxa"/>
          </w:tblCellMar>
        </w:tblPrEx>
        <w:trPr>
          <w:trHeight w:val="566" w:hRule="atLeast"/>
          <w:jc w:val="center"/>
        </w:trPr>
        <w:tc>
          <w:tcPr>
            <w:tcW w:w="1795" w:type="pct"/>
          </w:tcPr>
          <w:p w14:paraId="54683344">
            <w:pPr>
              <w:pBdr>
                <w:top w:val="none" w:color="auto" w:sz="0" w:space="0"/>
                <w:left w:val="none" w:color="auto" w:sz="0" w:space="0"/>
                <w:bottom w:val="none" w:color="auto" w:sz="0" w:space="0"/>
                <w:right w:val="none" w:color="auto" w:sz="0" w:space="0"/>
                <w:between w:val="none" w:color="auto" w:sz="0" w:space="0"/>
              </w:pBdr>
              <w:ind w:left="-8"/>
              <w:jc w:val="center"/>
              <w:rPr>
                <w:color w:val="auto"/>
                <w:sz w:val="26"/>
                <w:szCs w:val="28"/>
                <w:highlight w:val="none"/>
              </w:rPr>
            </w:pPr>
            <w:r>
              <w:rPr>
                <w:color w:val="auto"/>
                <w:sz w:val="26"/>
                <w:szCs w:val="28"/>
                <w:highlight w:val="none"/>
                <w:lang w:val="vi-VN"/>
              </w:rPr>
              <w:t xml:space="preserve">UBND TỈNH </w:t>
            </w:r>
            <w:r>
              <w:rPr>
                <w:color w:val="auto"/>
                <w:sz w:val="26"/>
                <w:szCs w:val="28"/>
                <w:highlight w:val="none"/>
              </w:rPr>
              <w:t>LẠNG SƠN</w:t>
            </w:r>
          </w:p>
          <w:p w14:paraId="70D64710">
            <w:pPr>
              <w:pBdr>
                <w:top w:val="none" w:color="auto" w:sz="0" w:space="0"/>
                <w:left w:val="none" w:color="auto" w:sz="0" w:space="0"/>
                <w:bottom w:val="none" w:color="auto" w:sz="0" w:space="0"/>
                <w:right w:val="none" w:color="auto" w:sz="0" w:space="0"/>
                <w:between w:val="none" w:color="auto" w:sz="0" w:space="0"/>
              </w:pBdr>
              <w:ind w:left="-8"/>
              <w:jc w:val="center"/>
              <w:rPr>
                <w:b/>
                <w:color w:val="auto"/>
                <w:sz w:val="26"/>
                <w:szCs w:val="28"/>
                <w:highlight w:val="none"/>
              </w:rPr>
            </w:pPr>
            <w:r>
              <w:rPr>
                <w:color w:val="auto"/>
                <w:highlight w:val="none"/>
                <w:lang w:eastAsia="en-US"/>
              </w:rPr>
              <mc:AlternateContent>
                <mc:Choice Requires="wps">
                  <w:drawing>
                    <wp:anchor distT="0" distB="0" distL="114300" distR="114300" simplePos="0" relativeHeight="251660288" behindDoc="0" locked="0" layoutInCell="1" allowOverlap="1">
                      <wp:simplePos x="0" y="0"/>
                      <wp:positionH relativeFrom="column">
                        <wp:posOffset>647065</wp:posOffset>
                      </wp:positionH>
                      <wp:positionV relativeFrom="paragraph">
                        <wp:posOffset>189865</wp:posOffset>
                      </wp:positionV>
                      <wp:extent cx="589280" cy="0"/>
                      <wp:effectExtent l="7620" t="10160" r="12700" b="8890"/>
                      <wp:wrapNone/>
                      <wp:docPr id="2" name="Straight Connector 3"/>
                      <wp:cNvGraphicFramePr/>
                      <a:graphic xmlns:a="http://schemas.openxmlformats.org/drawingml/2006/main">
                        <a:graphicData uri="http://schemas.microsoft.com/office/word/2010/wordprocessingShape">
                          <wps:wsp>
                            <wps:cNvCnPr>
                              <a:cxnSpLocks noChangeShapeType="1"/>
                            </wps:cNvCnPr>
                            <wps:spPr bwMode="auto">
                              <a:xfrm flipV="1">
                                <a:off x="0" y="0"/>
                                <a:ext cx="589280" cy="0"/>
                              </a:xfrm>
                              <a:prstGeom prst="line">
                                <a:avLst/>
                              </a:prstGeom>
                              <a:noFill/>
                              <a:ln w="9525">
                                <a:solidFill>
                                  <a:srgbClr val="4579B8"/>
                                </a:solidFill>
                                <a:round/>
                              </a:ln>
                            </wps:spPr>
                            <wps:bodyPr/>
                          </wps:wsp>
                        </a:graphicData>
                      </a:graphic>
                    </wp:anchor>
                  </w:drawing>
                </mc:Choice>
                <mc:Fallback>
                  <w:pict>
                    <v:line id="Straight Connector 3" o:spid="_x0000_s1026" o:spt="20" style="position:absolute;left:0pt;flip:y;margin-left:50.95pt;margin-top:14.95pt;height:0pt;width:46.4pt;z-index:251660288;mso-width-relative:page;mso-height-relative:page;" filled="f" stroked="t" coordsize="21600,21600" o:gfxdata="UEsDBAoAAAAAAIdO4kAAAAAAAAAAAAAAAAAEAAAAZHJzL1BLAwQUAAAACACHTuJAVp9+AdYAAAAJ&#10;AQAADwAAAGRycy9kb3ducmV2LnhtbE2PzU7DMBCE70i8g7VI3Kidip8mxKkgqNdKlAr16MbbOCJe&#10;R7HbhrdnKw5wWs3uaPabcjn5XpxwjF0gDdlMgUBqgu2o1bD9WN0tQMRkyJo+EGr4xgjL6vqqNIUN&#10;Z3rH0ya1gkMoFkaDS2kopIyNQ2/iLAxIfDuE0ZvEcmylHc2Zw30v50o9Sm864g/ODFg7bL42R69h&#10;wvHz7eVhmx9WO1oP9dq1Xf2q9e1Npp5BJJzSnxku+IwOFTPtw5FsFD1rleVs1TDPeV4M+f0TiP3v&#10;Qlal/N+g+gFQSwMEFAAAAAgAh07iQB3ly4DdAQAAtgMAAA4AAABkcnMvZTJvRG9jLnhtbK1TTY/a&#10;MBC9V+p/sHwvgbS0EBFWKmh72bZIbPduHCexanussSHw7zs2LPvRyx72Ytnz8Wbem/Hi5mgNOygM&#10;GlzNJ6MxZ8pJaLTrav7n/vbTjLMQhWuEAadqflKB3yw/flgMvlIl9GAahYxAXKgGX/M+Rl8VRZC9&#10;siKMwCtHzhbQikhP7IoGxUDo1hTlePy1GAAbjyBVCGRdn538gohvAYS21VKtQe6tcvGMisqISJRC&#10;r33gy9xt2yoZf7dtUJGZmhPTmE8qQvddOovlQlQdCt9reWlBvKWFV5ys0I6KXqHWIgq2R/0flNUS&#10;IUAbRxJscSaSFSEWk/Erbba98CpzIamDv4oe3g9W/jpskOmm5iVnTlga+Dai0F0f2QqcIwEB2eek&#10;0+BDReErt8HEVB7d1t+B/BuYg1UvXKdyv/cnTyCTlFG8SEmP4KnabvgJDcWIfYQs2rFFy1qj/UNK&#10;TOAkDDvmKZ2uU1LHyCQZp7N5OaP5yUdXIaqEkPI8hvhDgWXpUnOjXdJPVOJwF2Lq6CkkmR3camPy&#10;DhjHhprPp+U0JwQwuknOFBaw260MsoOgLfoy/Tb/Psv0yPM8DGHvmnMR4y7sE+GzdDtoTht8VIXG&#10;mbu5rF7al+fvnP303Zb/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affgHWAAAACQEAAA8AAAAA&#10;AAAAAQAgAAAAIgAAAGRycy9kb3ducmV2LnhtbFBLAQIUABQAAAAIAIdO4kAd5cuA3QEAALYDAAAO&#10;AAAAAAAAAAEAIAAAACUBAABkcnMvZTJvRG9jLnhtbFBLBQYAAAAABgAGAFkBAAB0BQAAAAA=&#10;">
                      <v:fill on="f" focussize="0,0"/>
                      <v:stroke color="#4579B8" joinstyle="round"/>
                      <v:imagedata o:title=""/>
                      <o:lock v:ext="edit" aspectratio="f"/>
                    </v:line>
                  </w:pict>
                </mc:Fallback>
              </mc:AlternateContent>
            </w:r>
            <w:r>
              <w:rPr>
                <w:b/>
                <w:bCs/>
                <w:color w:val="auto"/>
                <w:sz w:val="26"/>
                <w:szCs w:val="28"/>
                <w:highlight w:val="none"/>
                <w:lang w:val="vi-VN"/>
              </w:rPr>
              <w:t xml:space="preserve">SỞ </w:t>
            </w:r>
            <w:r>
              <w:rPr>
                <w:b/>
                <w:bCs/>
                <w:color w:val="auto"/>
                <w:sz w:val="26"/>
                <w:szCs w:val="28"/>
                <w:highlight w:val="none"/>
              </w:rPr>
              <w:t>Y TẾ</w:t>
            </w:r>
          </w:p>
        </w:tc>
        <w:tc>
          <w:tcPr>
            <w:tcW w:w="3205" w:type="pct"/>
          </w:tcPr>
          <w:p w14:paraId="4AF4C721">
            <w:pPr>
              <w:pBdr>
                <w:top w:val="none" w:color="auto" w:sz="0" w:space="0"/>
                <w:left w:val="none" w:color="auto" w:sz="0" w:space="0"/>
                <w:bottom w:val="none" w:color="auto" w:sz="0" w:space="0"/>
                <w:right w:val="none" w:color="auto" w:sz="0" w:space="0"/>
                <w:between w:val="none" w:color="auto" w:sz="0" w:space="0"/>
              </w:pBdr>
              <w:ind w:right="-151"/>
              <w:jc w:val="center"/>
              <w:rPr>
                <w:b/>
                <w:color w:val="auto"/>
                <w:sz w:val="26"/>
                <w:szCs w:val="28"/>
                <w:highlight w:val="none"/>
                <w:lang w:val="vi-VN"/>
              </w:rPr>
            </w:pPr>
            <w:r>
              <w:rPr>
                <w:b/>
                <w:color w:val="auto"/>
                <w:sz w:val="26"/>
                <w:szCs w:val="28"/>
                <w:highlight w:val="none"/>
                <w:lang w:val="vi-VN"/>
              </w:rPr>
              <w:t>CỘNG HÒA XÃ HỘI CHỦ NGHĨA VIỆT NAM</w:t>
            </w:r>
          </w:p>
          <w:p w14:paraId="363208C2">
            <w:pPr>
              <w:pBdr>
                <w:top w:val="none" w:color="auto" w:sz="0" w:space="0"/>
                <w:left w:val="none" w:color="auto" w:sz="0" w:space="0"/>
                <w:bottom w:val="none" w:color="auto" w:sz="0" w:space="0"/>
                <w:right w:val="none" w:color="auto" w:sz="0" w:space="0"/>
                <w:between w:val="none" w:color="auto" w:sz="0" w:space="0"/>
              </w:pBdr>
              <w:ind w:right="-151"/>
              <w:jc w:val="center"/>
              <w:rPr>
                <w:b/>
                <w:bCs/>
                <w:color w:val="auto"/>
                <w:sz w:val="28"/>
                <w:szCs w:val="28"/>
                <w:highlight w:val="none"/>
              </w:rPr>
            </w:pPr>
            <w:r>
              <w:rPr>
                <w:b/>
                <w:bCs/>
                <w:color w:val="auto"/>
                <w:sz w:val="28"/>
                <w:szCs w:val="28"/>
                <w:highlight w:val="none"/>
                <w:lang w:val="vi-VN"/>
              </w:rPr>
              <w:t xml:space="preserve">Độc lập </w:t>
            </w:r>
            <w:r>
              <w:rPr>
                <w:b/>
                <w:bCs/>
                <w:color w:val="auto"/>
                <w:sz w:val="28"/>
                <w:szCs w:val="28"/>
                <w:highlight w:val="none"/>
              </w:rPr>
              <w:t>-</w:t>
            </w:r>
            <w:r>
              <w:rPr>
                <w:b/>
                <w:bCs/>
                <w:color w:val="auto"/>
                <w:sz w:val="28"/>
                <w:szCs w:val="28"/>
                <w:highlight w:val="none"/>
                <w:lang w:val="vi-VN"/>
              </w:rPr>
              <w:t xml:space="preserve"> Tự do </w:t>
            </w:r>
            <w:r>
              <w:rPr>
                <w:b/>
                <w:bCs/>
                <w:color w:val="auto"/>
                <w:sz w:val="28"/>
                <w:szCs w:val="28"/>
                <w:highlight w:val="none"/>
              </w:rPr>
              <w:t>-</w:t>
            </w:r>
            <w:r>
              <w:rPr>
                <w:b/>
                <w:bCs/>
                <w:color w:val="auto"/>
                <w:sz w:val="28"/>
                <w:szCs w:val="28"/>
                <w:highlight w:val="none"/>
                <w:lang w:val="vi-VN"/>
              </w:rPr>
              <w:t xml:space="preserve"> Hạnh phúc</w:t>
            </w:r>
          </w:p>
        </w:tc>
      </w:tr>
      <w:tr w14:paraId="14E9D792">
        <w:tblPrEx>
          <w:tblCellMar>
            <w:top w:w="0" w:type="dxa"/>
            <w:left w:w="108" w:type="dxa"/>
            <w:bottom w:w="0" w:type="dxa"/>
            <w:right w:w="108" w:type="dxa"/>
          </w:tblCellMar>
        </w:tblPrEx>
        <w:trPr>
          <w:trHeight w:val="389" w:hRule="atLeast"/>
          <w:jc w:val="center"/>
        </w:trPr>
        <w:tc>
          <w:tcPr>
            <w:tcW w:w="1795" w:type="pct"/>
          </w:tcPr>
          <w:p w14:paraId="4D929140">
            <w:pPr>
              <w:pBdr>
                <w:top w:val="none" w:color="auto" w:sz="0" w:space="0"/>
                <w:left w:val="none" w:color="auto" w:sz="0" w:space="0"/>
                <w:bottom w:val="none" w:color="auto" w:sz="0" w:space="0"/>
                <w:right w:val="none" w:color="auto" w:sz="0" w:space="0"/>
                <w:between w:val="none" w:color="auto" w:sz="0" w:space="0"/>
              </w:pBdr>
              <w:spacing w:before="120"/>
              <w:ind w:left="-8"/>
              <w:jc w:val="center"/>
              <w:rPr>
                <w:color w:val="auto"/>
                <w:sz w:val="26"/>
                <w:szCs w:val="28"/>
                <w:highlight w:val="none"/>
                <w:lang w:val="vi-VN"/>
              </w:rPr>
            </w:pPr>
            <w:r>
              <w:rPr>
                <w:color w:val="auto"/>
                <w:sz w:val="26"/>
                <w:szCs w:val="28"/>
                <w:highlight w:val="none"/>
                <w:lang w:val="vi-VN"/>
              </w:rPr>
              <w:t xml:space="preserve">Số: </w:t>
            </w:r>
            <w:r>
              <w:rPr>
                <w:rFonts w:hint="default"/>
                <w:color w:val="auto"/>
                <w:sz w:val="26"/>
                <w:szCs w:val="28"/>
                <w:highlight w:val="none"/>
                <w:lang w:val="en-US"/>
              </w:rPr>
              <w:t xml:space="preserve">          </w:t>
            </w:r>
            <w:r>
              <w:rPr>
                <w:color w:val="auto"/>
                <w:sz w:val="26"/>
                <w:szCs w:val="28"/>
                <w:highlight w:val="none"/>
                <w:lang w:val="vi-VN"/>
              </w:rPr>
              <w:t>/TTr-S</w:t>
            </w:r>
            <w:r>
              <w:rPr>
                <w:color w:val="auto"/>
                <w:sz w:val="26"/>
                <w:szCs w:val="28"/>
                <w:highlight w:val="none"/>
              </w:rPr>
              <w:t>YT</w:t>
            </w:r>
          </w:p>
        </w:tc>
        <w:tc>
          <w:tcPr>
            <w:tcW w:w="3205" w:type="pct"/>
          </w:tcPr>
          <w:p w14:paraId="25DE32C3">
            <w:pPr>
              <w:pBdr>
                <w:top w:val="none" w:color="auto" w:sz="0" w:space="0"/>
                <w:left w:val="none" w:color="auto" w:sz="0" w:space="0"/>
                <w:bottom w:val="none" w:color="auto" w:sz="0" w:space="0"/>
                <w:right w:val="none" w:color="auto" w:sz="0" w:space="0"/>
                <w:between w:val="none" w:color="auto" w:sz="0" w:space="0"/>
              </w:pBdr>
              <w:spacing w:before="120"/>
              <w:ind w:right="-151"/>
              <w:jc w:val="center"/>
              <w:rPr>
                <w:b/>
                <w:color w:val="auto"/>
                <w:sz w:val="26"/>
                <w:szCs w:val="28"/>
                <w:highlight w:val="none"/>
                <w:lang w:val="vi-VN"/>
              </w:rPr>
            </w:pPr>
            <w:r>
              <w:rPr>
                <w:color w:val="auto"/>
                <w:highlight w:val="none"/>
                <w:lang w:eastAsia="en-US"/>
              </w:rPr>
              <mc:AlternateContent>
                <mc:Choice Requires="wps">
                  <w:drawing>
                    <wp:anchor distT="0" distB="0" distL="114300" distR="114300" simplePos="0" relativeHeight="251659264" behindDoc="0" locked="0" layoutInCell="1" allowOverlap="1">
                      <wp:simplePos x="0" y="0"/>
                      <wp:positionH relativeFrom="column">
                        <wp:posOffset>767080</wp:posOffset>
                      </wp:positionH>
                      <wp:positionV relativeFrom="paragraph">
                        <wp:posOffset>13970</wp:posOffset>
                      </wp:positionV>
                      <wp:extent cx="2057400" cy="0"/>
                      <wp:effectExtent l="0" t="0" r="0" b="0"/>
                      <wp:wrapNone/>
                      <wp:docPr id="4" name="Line 4"/>
                      <wp:cNvGraphicFramePr/>
                      <a:graphic xmlns:a="http://schemas.openxmlformats.org/drawingml/2006/main">
                        <a:graphicData uri="http://schemas.microsoft.com/office/word/2010/wordprocessingShape">
                          <wps:wsp>
                            <wps:cNvCnPr/>
                            <wps:spPr bwMode="auto">
                              <a:xfrm flipV="1">
                                <a:off x="0" y="0"/>
                                <a:ext cx="2057400" cy="0"/>
                              </a:xfrm>
                              <a:prstGeom prst="line">
                                <a:avLst/>
                              </a:prstGeom>
                              <a:noFill/>
                              <a:ln w="9525">
                                <a:solidFill>
                                  <a:srgbClr val="000000"/>
                                </a:solidFill>
                                <a:round/>
                              </a:ln>
                            </wps:spPr>
                            <wps:bodyPr/>
                          </wps:wsp>
                        </a:graphicData>
                      </a:graphic>
                    </wp:anchor>
                  </w:drawing>
                </mc:Choice>
                <mc:Fallback>
                  <w:pict>
                    <v:line id="Line 4" o:spid="_x0000_s1026" o:spt="20" style="position:absolute;left:0pt;flip:y;margin-left:60.4pt;margin-top:1.1pt;height:0pt;width:162pt;z-index:251659264;mso-width-relative:page;mso-height-relative:page;" filled="f" stroked="t" coordsize="21600,21600" o:gfxdata="UEsDBAoAAAAAAIdO4kAAAAAAAAAAAAAAAAAEAAAAZHJzL1BLAwQUAAAACACHTuJADCuc/dEAAAAH&#10;AQAADwAAAGRycy9kb3ducmV2LnhtbE2OwUrEMBRF94L/EJ7gzkkmFtHadBBRN4LgWF2nzbMtJi+l&#10;yXTGv/fpxlke7uXeU20OwYsF5zRGMrBeKRBIXXQj9Qaat8eLaxApW3LWR0ID35hgU5+eVLZ0cU+v&#10;uGxzL3iEUmkNDDlPpZSpGzDYtIoTEmefcQ42M869dLPd83jwUit1JYMdiR8GO+H9gN3XdhcM3H08&#10;P1y+LG2I3t30zbsLjXrSxpyfrdUtiIyH/F+GX31Wh5qd2rgjl4Rn1orVswGtQXBeFAVz+8eyruSx&#10;f/0DUEsDBBQAAAAIAIdO4kBgPyNqtgEAAHcDAAAOAAAAZHJzL2Uyb0RvYy54bWytU01vGyEQvVfq&#10;f0Dc691Ydj9WXucQK7mkSaSmvWM+vEjAIAZ77X/fgXXcNL3k0D0gZubxmPeGXV0fvWMHndBC6PnV&#10;rOVMBwnKhl3Pfz7ffvrKGWYRlHAQdM9PGvn1+uOH1Rg7PYcBnNKJEUnAbow9H3KOXdOgHLQXOIOo&#10;AxUNJC8yhWnXqCRGYveumbft52aEpGICqREpu5mK/MyY3kMIxlipNyD3Xoc8sSbtRCZJONiIfF27&#10;NUbL/GgM6sxcz0lpritdQvttWZv1SnS7JOJg5bkF8Z4W3mjywga69EK1EVmwfbL/UHkrEyCYPJPg&#10;m0lIdYRUXLVvvPkxiKirFrIa48V0/H+08uHwlJhVPV9wFoSngd/boNmiODNG7AhwE57SOcJI6O34&#10;HRQBxT5DFX00yTPjbPxFD6pmSBg7VpdPF5f1MTNJyXm7/LJoaQDypdaIrlAU/2LCfKfBs7LpuaNe&#10;KqE43GOmJgj6AinwALfWuTpEF9jY82/L+bIeQHBWlWKBYdptb1xiB1GeQf2KPiL7C5ZgH9SUd4HK&#10;RX9RPDmxBXWqRtQ8zaMSnN9OGfjruJ7+87+sf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MK5z9&#10;0QAAAAcBAAAPAAAAAAAAAAEAIAAAACIAAABkcnMvZG93bnJldi54bWxQSwECFAAUAAAACACHTuJA&#10;YD8jarYBAAB3AwAADgAAAAAAAAABACAAAAAgAQAAZHJzL2Uyb0RvYy54bWxQSwUGAAAAAAYABgBZ&#10;AQAASAUAAAAA&#10;">
                      <v:fill on="f" focussize="0,0"/>
                      <v:stroke color="#000000" joinstyle="round"/>
                      <v:imagedata o:title=""/>
                      <o:lock v:ext="edit" aspectratio="f"/>
                    </v:line>
                  </w:pict>
                </mc:Fallback>
              </mc:AlternateContent>
            </w:r>
            <w:r>
              <w:rPr>
                <w:i/>
                <w:iCs/>
                <w:color w:val="auto"/>
                <w:sz w:val="26"/>
                <w:szCs w:val="26"/>
                <w:highlight w:val="none"/>
                <w:lang w:val="vi-VN"/>
              </w:rPr>
              <w:t xml:space="preserve">Lạng Sơn, ngày </w:t>
            </w:r>
            <w:r>
              <w:rPr>
                <w:rFonts w:hint="default"/>
                <w:i/>
                <w:iCs/>
                <w:color w:val="auto"/>
                <w:sz w:val="26"/>
                <w:szCs w:val="26"/>
                <w:highlight w:val="none"/>
                <w:lang w:val="en-US"/>
              </w:rPr>
              <w:t xml:space="preserve">      </w:t>
            </w:r>
            <w:bookmarkStart w:id="1" w:name="_GoBack"/>
            <w:bookmarkEnd w:id="1"/>
            <w:r>
              <w:rPr>
                <w:i/>
                <w:iCs/>
                <w:color w:val="auto"/>
                <w:sz w:val="26"/>
                <w:szCs w:val="26"/>
                <w:highlight w:val="none"/>
              </w:rPr>
              <w:t xml:space="preserve"> </w:t>
            </w:r>
            <w:r>
              <w:rPr>
                <w:i/>
                <w:iCs/>
                <w:color w:val="auto"/>
                <w:sz w:val="26"/>
                <w:szCs w:val="26"/>
                <w:highlight w:val="none"/>
                <w:lang w:val="vi-VN"/>
              </w:rPr>
              <w:t>tháng</w:t>
            </w:r>
            <w:r>
              <w:rPr>
                <w:i/>
                <w:iCs/>
                <w:color w:val="auto"/>
                <w:sz w:val="26"/>
                <w:szCs w:val="26"/>
                <w:highlight w:val="none"/>
              </w:rPr>
              <w:t xml:space="preserve"> 5</w:t>
            </w:r>
            <w:r>
              <w:rPr>
                <w:i/>
                <w:iCs/>
                <w:color w:val="auto"/>
                <w:sz w:val="26"/>
                <w:szCs w:val="26"/>
                <w:highlight w:val="none"/>
                <w:lang w:val="vi-VN"/>
              </w:rPr>
              <w:t xml:space="preserve">  năm 2026</w:t>
            </w:r>
          </w:p>
        </w:tc>
      </w:tr>
    </w:tbl>
    <w:p w14:paraId="0D1536E2">
      <w:pPr>
        <w:pBdr>
          <w:top w:val="none" w:color="auto" w:sz="0" w:space="0"/>
          <w:left w:val="none" w:color="auto" w:sz="0" w:space="0"/>
          <w:bottom w:val="none" w:color="auto" w:sz="0" w:space="0"/>
          <w:right w:val="none" w:color="auto" w:sz="0" w:space="0"/>
          <w:between w:val="none" w:color="auto" w:sz="0" w:space="0"/>
        </w:pBdr>
        <w:spacing w:before="240" w:after="120"/>
        <w:jc w:val="center"/>
        <w:rPr>
          <w:b/>
          <w:color w:val="auto"/>
          <w:sz w:val="28"/>
          <w:szCs w:val="28"/>
          <w:highlight w:val="none"/>
          <w:lang w:val="nl-NL"/>
        </w:rPr>
      </w:pPr>
    </w:p>
    <w:p w14:paraId="18F77EE5">
      <w:pPr>
        <w:pBdr>
          <w:top w:val="none" w:color="auto" w:sz="0" w:space="0"/>
          <w:left w:val="none" w:color="auto" w:sz="0" w:space="0"/>
          <w:bottom w:val="none" w:color="auto" w:sz="0" w:space="0"/>
          <w:right w:val="none" w:color="auto" w:sz="0" w:space="0"/>
          <w:between w:val="none" w:color="auto" w:sz="0" w:space="0"/>
        </w:pBdr>
        <w:spacing w:before="240" w:after="120"/>
        <w:jc w:val="center"/>
        <w:rPr>
          <w:b/>
          <w:color w:val="auto"/>
          <w:sz w:val="28"/>
          <w:szCs w:val="28"/>
          <w:highlight w:val="none"/>
          <w:lang w:val="nl-NL"/>
        </w:rPr>
      </w:pPr>
      <w:r>
        <w:rPr>
          <w:b/>
          <w:color w:val="auto"/>
          <w:sz w:val="28"/>
          <w:szCs w:val="28"/>
          <w:highlight w:val="none"/>
          <w:lang w:val="nl-NL"/>
        </w:rPr>
        <w:t>TỜ TRÌNH</w:t>
      </w:r>
    </w:p>
    <w:p w14:paraId="63938D85">
      <w:pPr>
        <w:jc w:val="center"/>
        <w:rPr>
          <w:b/>
          <w:bCs/>
          <w:color w:val="auto"/>
          <w:sz w:val="28"/>
          <w:szCs w:val="28"/>
          <w:highlight w:val="none"/>
        </w:rPr>
      </w:pPr>
      <w:r>
        <w:rPr>
          <w:b/>
          <w:bCs/>
          <w:color w:val="auto"/>
          <w:sz w:val="28"/>
          <w:szCs w:val="28"/>
          <w:highlight w:val="none"/>
          <w:lang w:val="vi-VN"/>
        </w:rPr>
        <w:t>Về việc</w:t>
      </w:r>
      <w:r>
        <w:rPr>
          <w:b/>
          <w:bCs/>
          <w:color w:val="auto"/>
          <w:sz w:val="28"/>
          <w:szCs w:val="28"/>
          <w:highlight w:val="none"/>
        </w:rPr>
        <w:t xml:space="preserve"> dự thảo Nghị quyết của Hội đồng nhân dân tỉnh </w:t>
      </w:r>
      <w:bookmarkStart w:id="0" w:name="_Hlk192164860"/>
      <w:r>
        <w:rPr>
          <w:b/>
          <w:bCs/>
          <w:color w:val="auto"/>
          <w:sz w:val="28"/>
          <w:szCs w:val="28"/>
          <w:highlight w:val="none"/>
        </w:rPr>
        <w:t xml:space="preserve">hỗ trợ </w:t>
      </w:r>
    </w:p>
    <w:p w14:paraId="1069C75F">
      <w:pPr>
        <w:jc w:val="center"/>
        <w:rPr>
          <w:b/>
          <w:bCs/>
          <w:color w:val="auto"/>
          <w:sz w:val="28"/>
          <w:szCs w:val="28"/>
          <w:highlight w:val="none"/>
        </w:rPr>
      </w:pPr>
      <w:r>
        <w:rPr>
          <w:b/>
          <w:bCs/>
          <w:color w:val="auto"/>
          <w:sz w:val="28"/>
          <w:szCs w:val="28"/>
          <w:highlight w:val="none"/>
        </w:rPr>
        <w:t>phương tiện tránh thai và chi phí dịch vụ kế hoạch hóa gia đình</w:t>
      </w:r>
    </w:p>
    <w:p w14:paraId="3B30514B">
      <w:pPr>
        <w:jc w:val="center"/>
        <w:rPr>
          <w:b/>
          <w:bCs/>
          <w:color w:val="auto"/>
          <w:sz w:val="28"/>
          <w:szCs w:val="28"/>
          <w:highlight w:val="none"/>
        </w:rPr>
      </w:pPr>
      <w:r>
        <w:rPr>
          <w:b/>
          <w:bCs/>
          <w:color w:val="auto"/>
          <w:sz w:val="28"/>
          <w:szCs w:val="28"/>
          <w:highlight w:val="none"/>
        </w:rPr>
        <w:t xml:space="preserve"> </w:t>
      </w:r>
      <w:r>
        <w:rPr>
          <w:b/>
          <w:color w:val="auto"/>
          <w:sz w:val="28"/>
          <w:szCs w:val="28"/>
          <w:highlight w:val="none"/>
        </w:rPr>
        <w:t xml:space="preserve">đối với phụ nữ sinh đủ 02 con </w:t>
      </w:r>
      <w:r>
        <w:rPr>
          <w:b/>
          <w:bCs/>
          <w:color w:val="auto"/>
          <w:sz w:val="28"/>
          <w:szCs w:val="28"/>
          <w:highlight w:val="none"/>
        </w:rPr>
        <w:t>trên địa bàn tỉnh Lạng Sơn</w:t>
      </w:r>
    </w:p>
    <w:bookmarkEnd w:id="0"/>
    <w:p w14:paraId="05B8FC57">
      <w:pPr>
        <w:pBdr>
          <w:top w:val="none" w:color="auto" w:sz="0" w:space="0"/>
          <w:left w:val="none" w:color="auto" w:sz="0" w:space="0"/>
          <w:bottom w:val="none" w:color="auto" w:sz="0" w:space="0"/>
          <w:right w:val="none" w:color="auto" w:sz="0" w:space="0"/>
          <w:between w:val="none" w:color="auto" w:sz="0" w:space="0"/>
        </w:pBdr>
        <w:jc w:val="both"/>
        <w:rPr>
          <w:b/>
          <w:bCs/>
          <w:color w:val="auto"/>
          <w:sz w:val="28"/>
          <w:szCs w:val="28"/>
          <w:highlight w:val="none"/>
          <w:lang w:val="vi-VN"/>
        </w:rPr>
      </w:pPr>
      <w:r>
        <w:rPr>
          <w:color w:val="auto"/>
          <w:highlight w:val="none"/>
          <w:lang w:eastAsia="en-US"/>
        </w:rPr>
        <mc:AlternateContent>
          <mc:Choice Requires="wps">
            <w:drawing>
              <wp:anchor distT="0" distB="0" distL="114300" distR="114300" simplePos="0" relativeHeight="251660288" behindDoc="0" locked="0" layoutInCell="1" allowOverlap="1">
                <wp:simplePos x="0" y="0"/>
                <wp:positionH relativeFrom="column">
                  <wp:posOffset>2341245</wp:posOffset>
                </wp:positionH>
                <wp:positionV relativeFrom="paragraph">
                  <wp:posOffset>89535</wp:posOffset>
                </wp:positionV>
                <wp:extent cx="1219200" cy="0"/>
                <wp:effectExtent l="11430" t="12700" r="7620" b="6350"/>
                <wp:wrapNone/>
                <wp:docPr id="1" name="Straight Connector 5"/>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4579B8"/>
                          </a:solidFill>
                          <a:round/>
                        </a:ln>
                      </wps:spPr>
                      <wps:bodyPr/>
                    </wps:wsp>
                  </a:graphicData>
                </a:graphic>
              </wp:anchor>
            </w:drawing>
          </mc:Choice>
          <mc:Fallback>
            <w:pict>
              <v:line id="Straight Connector 5" o:spid="_x0000_s1026" o:spt="20" style="position:absolute;left:0pt;margin-left:184.35pt;margin-top:7.05pt;height:0pt;width:96pt;z-index:251660288;mso-width-relative:page;mso-height-relative:page;" filled="f" stroked="t" coordsize="21600,21600" o:gfxdata="UEsDBAoAAAAAAIdO4kAAAAAAAAAAAAAAAAAEAAAAZHJzL1BLAwQUAAAACACHTuJAVQ43jtUAAAAJ&#10;AQAADwAAAGRycy9kb3ducmV2LnhtbE2PzU7DMBCE70i8g7VI3KidQkOaxumhEpXgRkHqdRtvkwj/&#10;RLHbtG/PIg5w3JlPszPV+uKsONMY++A1ZDMFgnwTTO9bDZ8fLw8FiJjQG7TBk4YrRVjXtzcVliZM&#10;/p3Ou9QKDvGxRA1dSkMpZWw6chhnYSDP3jGMDhOfYyvNiBOHOyvnSuXSYe/5Q4cDbTpqvnYnp+F1&#10;LOx2v8RiYZbhajfT236+Ra3v7zK1ApHokv5g+KnP1aHmTodw8iYKq+ExL54ZZeMpA8HAIlcsHH4F&#10;WVfy/4L6G1BLAwQUAAAACACHTuJAu3ydxdcBAACtAwAADgAAAGRycy9lMm9Eb2MueG1srVNNb9sw&#10;DL0P2H8QdF+cBMvWGHEKLEF36bYA6X4AI8u2UFkUKCVO/v0o5WNdd+mhF0HixyPfI7W4P/ZWHDQF&#10;g66Sk9FYCu0U1sa1lfz99PDpTooQwdVg0elKnnSQ98uPHxaDL/UUO7S1JsEgLpSDr2QXoy+LIqhO&#10;9xBG6LVjZ4PUQ+QntUVNMDB6b4vpePylGJBqT6h0CGxdn53ygkhvAcSmMUqvUe177eIZlbSFyJRC&#10;Z3yQy9xt02gVfzVN0FHYSjLTmE8uwvddOovlAsqWwHdGXVqAt7TwilMPxnHRG9QaIog9mf+geqMI&#10;AzZxpLAvzkSyIsxiMn6lzbYDrzMXljr4m+jh/WDVz8OGhKl5E6Rw0PPAt5HAtF0UK3SOBUQSs6TT&#10;4EPJ4Su3ocRUHd3WP6J6DsLhqgPX6tzv08kzyCRlFP+kpEfwXG03/MCaY2AfMYt2bKhPkCyHOObZ&#10;nG6z0ccoFBsn08mc10cKdfUVUF4TPYX4XWMv0qWS1rgkG5RweAwxNQLlNSSZHT4Ya/PorRNDJeez&#10;6SwnBLSmTs4UFqjdrSyJA/DyfJ59nX+7y6zY8zKMcO/qcxHrLqQTz7NiO6xPG7qKwVPM3Vw2Lq3J&#10;y3fO/vvLl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VQ43jtUAAAAJAQAADwAAAAAAAAABACAA&#10;AAAiAAAAZHJzL2Rvd25yZXYueG1sUEsBAhQAFAAAAAgAh07iQLt8ncXXAQAArQMAAA4AAAAAAAAA&#10;AQAgAAAAJAEAAGRycy9lMm9Eb2MueG1sUEsFBgAAAAAGAAYAWQEAAG0FAAAAAA==&#10;">
                <v:fill on="f" focussize="0,0"/>
                <v:stroke color="#4579B8" joinstyle="round"/>
                <v:imagedata o:title=""/>
                <o:lock v:ext="edit" aspectratio="f"/>
              </v:line>
            </w:pict>
          </mc:Fallback>
        </mc:AlternateContent>
      </w:r>
    </w:p>
    <w:p w14:paraId="6810E785">
      <w:pPr>
        <w:pBdr>
          <w:top w:val="none" w:color="auto" w:sz="0" w:space="0"/>
          <w:left w:val="none" w:color="auto" w:sz="0" w:space="0"/>
          <w:bottom w:val="none" w:color="auto" w:sz="0" w:space="0"/>
          <w:right w:val="none" w:color="auto" w:sz="0" w:space="0"/>
          <w:between w:val="none" w:color="auto" w:sz="0" w:space="0"/>
        </w:pBdr>
        <w:spacing w:before="100" w:beforeAutospacing="1" w:after="100" w:afterAutospacing="1"/>
        <w:jc w:val="center"/>
        <w:rPr>
          <w:color w:val="auto"/>
          <w:sz w:val="28"/>
          <w:szCs w:val="28"/>
          <w:highlight w:val="none"/>
          <w:lang w:val="nl-NL"/>
        </w:rPr>
      </w:pPr>
      <w:r>
        <w:rPr>
          <w:color w:val="auto"/>
          <w:sz w:val="28"/>
          <w:szCs w:val="28"/>
          <w:highlight w:val="none"/>
          <w:lang w:val="nl-NL"/>
        </w:rPr>
        <w:t>Kính gửi: Ủy ban nhân dân tỉnh Lạng Sơn.</w:t>
      </w:r>
    </w:p>
    <w:p w14:paraId="26777CC7">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iCs/>
          <w:color w:val="auto"/>
          <w:sz w:val="28"/>
          <w:szCs w:val="28"/>
          <w:highlight w:val="none"/>
        </w:rPr>
      </w:pPr>
      <w:r>
        <w:rPr>
          <w:iCs/>
          <w:color w:val="auto"/>
          <w:sz w:val="28"/>
          <w:szCs w:val="28"/>
          <w:highlight w:val="none"/>
        </w:rPr>
        <w:t xml:space="preserve">Căn cứ Quyết định số 221/QĐ-HĐND ngày 12/02/2026 của Thường trực HĐND tỉnh ban hành danh mục Nghị quyết của Hội đồng nhân dân tỉnh Lạng Sơn quy định chi tiết các luật, nghị quyết được Quốc hội khóa XV thông qua tại kỳ họp thứ 10; </w:t>
      </w:r>
    </w:p>
    <w:p w14:paraId="21E50DED">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iCs/>
          <w:color w:val="auto"/>
          <w:sz w:val="28"/>
          <w:szCs w:val="28"/>
          <w:highlight w:val="none"/>
        </w:rPr>
        <w:t xml:space="preserve">Thực hiện văn bản số 1239/VP-NC ngày 14/02/2026 của Văn phòng UBND tỉnh về việc </w:t>
      </w:r>
      <w:r>
        <w:rPr>
          <w:color w:val="auto"/>
          <w:sz w:val="28"/>
          <w:szCs w:val="28"/>
          <w:highlight w:val="none"/>
        </w:rPr>
        <w:t>xây dựng Nghị quyết quy định chi tiết các Luật, Nghị quyết được Quốc hội khóa XV thông qua tại kỳ họp thứ 10; Công văn số 3058/VP-KGVX ngày 17/4/2026 của Văn phòng UBND tỉnh Lạng Sơn về việc giao tham mưu xây dựng dự thảo các Nghị quyết của HĐND tỉnh quy định chi tiết Luật Dân số.</w:t>
      </w:r>
    </w:p>
    <w:p w14:paraId="1951E60D">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Cs/>
          <w:color w:val="auto"/>
          <w:sz w:val="28"/>
          <w:szCs w:val="28"/>
          <w:highlight w:val="none"/>
        </w:rPr>
      </w:pPr>
      <w:r>
        <w:rPr>
          <w:bCs/>
          <w:color w:val="auto"/>
          <w:sz w:val="28"/>
          <w:szCs w:val="28"/>
          <w:highlight w:val="none"/>
        </w:rPr>
        <w:t xml:space="preserve">Sở Y tế đã chủ trì, phối hợp với các cơ quan triển khai các bước xây dựng </w:t>
      </w:r>
      <w:r>
        <w:rPr>
          <w:color w:val="auto"/>
          <w:sz w:val="28"/>
          <w:szCs w:val="28"/>
          <w:highlight w:val="none"/>
          <w:lang w:val="pt-BR"/>
        </w:rPr>
        <w:t xml:space="preserve">dự thảo Nghị quyết của HĐND tỉnh </w:t>
      </w:r>
      <w:r>
        <w:rPr>
          <w:bCs/>
          <w:color w:val="auto"/>
          <w:sz w:val="28"/>
          <w:szCs w:val="28"/>
          <w:highlight w:val="none"/>
        </w:rPr>
        <w:t xml:space="preserve">quy định hỗ trợ phương tiện tránh thai và chi phí dịch vụ kế hoạch hóa gia đình  </w:t>
      </w:r>
      <w:r>
        <w:rPr>
          <w:color w:val="auto"/>
          <w:sz w:val="28"/>
          <w:szCs w:val="28"/>
          <w:highlight w:val="none"/>
        </w:rPr>
        <w:t xml:space="preserve">đối với phụ nữ sinh đủ 02 con </w:t>
      </w:r>
      <w:r>
        <w:rPr>
          <w:bCs/>
          <w:color w:val="auto"/>
          <w:sz w:val="28"/>
          <w:szCs w:val="28"/>
          <w:highlight w:val="none"/>
        </w:rPr>
        <w:t>trên địa bàn tỉnh Lạng Sơn. Nội dung cụ thể như sau:</w:t>
      </w:r>
    </w:p>
    <w:p w14:paraId="23B97746">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bCs/>
          <w:color w:val="auto"/>
          <w:sz w:val="28"/>
          <w:szCs w:val="28"/>
          <w:highlight w:val="none"/>
          <w:lang w:val="nl-NL"/>
        </w:rPr>
      </w:pPr>
      <w:r>
        <w:rPr>
          <w:b/>
          <w:bCs/>
          <w:color w:val="auto"/>
          <w:sz w:val="28"/>
          <w:szCs w:val="28"/>
          <w:highlight w:val="none"/>
          <w:lang w:val="nl-NL"/>
        </w:rPr>
        <w:t xml:space="preserve">I. SỰ CẦN THIẾT BAN HÀNH VĂN BẢN </w:t>
      </w:r>
    </w:p>
    <w:p w14:paraId="5B781FDC">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color w:val="auto"/>
          <w:sz w:val="28"/>
          <w:szCs w:val="28"/>
          <w:highlight w:val="none"/>
          <w:lang w:val="sv-FI"/>
        </w:rPr>
      </w:pPr>
      <w:r>
        <w:rPr>
          <w:b/>
          <w:color w:val="auto"/>
          <w:sz w:val="28"/>
          <w:szCs w:val="28"/>
          <w:highlight w:val="none"/>
          <w:lang w:val="sv-FI"/>
        </w:rPr>
        <w:t xml:space="preserve">1. Cơ sở chính trị, pháp lý  </w:t>
      </w:r>
    </w:p>
    <w:p w14:paraId="0D6FEE1E">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Cs/>
          <w:color w:val="auto"/>
          <w:sz w:val="28"/>
          <w:szCs w:val="28"/>
          <w:highlight w:val="none"/>
        </w:rPr>
      </w:pPr>
      <w:r>
        <w:rPr>
          <w:color w:val="auto"/>
          <w:sz w:val="28"/>
          <w:szCs w:val="28"/>
          <w:highlight w:val="none"/>
        </w:rPr>
        <w:t xml:space="preserve">- Căn cứ Nghị quyết số </w:t>
      </w:r>
      <w:r>
        <w:rPr>
          <w:color w:val="auto"/>
          <w:spacing w:val="-2"/>
          <w:sz w:val="28"/>
          <w:szCs w:val="28"/>
          <w:highlight w:val="none"/>
          <w:shd w:val="clear" w:color="auto" w:fill="FFFFFF"/>
        </w:rPr>
        <w:t>21-NQ/TW</w:t>
      </w:r>
      <w:r>
        <w:rPr>
          <w:color w:val="auto"/>
          <w:spacing w:val="-2"/>
          <w:sz w:val="28"/>
          <w:szCs w:val="28"/>
          <w:highlight w:val="none"/>
          <w:shd w:val="clear" w:color="auto" w:fill="FFFFFF"/>
          <w:lang w:val="vi-VN"/>
        </w:rPr>
        <w:t xml:space="preserve"> </w:t>
      </w:r>
      <w:r>
        <w:rPr>
          <w:color w:val="auto"/>
          <w:spacing w:val="-2"/>
          <w:sz w:val="28"/>
          <w:szCs w:val="28"/>
          <w:highlight w:val="none"/>
          <w:shd w:val="clear" w:color="auto" w:fill="FFFFFF"/>
        </w:rPr>
        <w:t xml:space="preserve">ngày 25/10/2017 của </w:t>
      </w:r>
      <w:r>
        <w:rPr>
          <w:color w:val="auto"/>
          <w:spacing w:val="-2"/>
          <w:sz w:val="28"/>
          <w:szCs w:val="28"/>
          <w:highlight w:val="none"/>
          <w:shd w:val="clear" w:color="auto" w:fill="FFFFFF"/>
          <w:lang w:val="vi-VN"/>
        </w:rPr>
        <w:t xml:space="preserve">Hội nghị lần thứ sáu </w:t>
      </w:r>
      <w:r>
        <w:rPr>
          <w:color w:val="auto"/>
          <w:spacing w:val="-2"/>
          <w:sz w:val="28"/>
          <w:szCs w:val="28"/>
          <w:highlight w:val="none"/>
          <w:shd w:val="clear" w:color="auto" w:fill="FFFFFF"/>
        </w:rPr>
        <w:t>Ban Chấp hành Trung ương Đảng khóa XII</w:t>
      </w:r>
      <w:r>
        <w:rPr>
          <w:color w:val="auto"/>
          <w:sz w:val="28"/>
          <w:szCs w:val="28"/>
          <w:highlight w:val="none"/>
          <w:lang w:val="nl-NL"/>
        </w:rPr>
        <w:t xml:space="preserve"> </w:t>
      </w:r>
      <w:r>
        <w:rPr>
          <w:bCs/>
          <w:color w:val="auto"/>
          <w:sz w:val="28"/>
          <w:szCs w:val="28"/>
          <w:highlight w:val="none"/>
        </w:rPr>
        <w:t>về công tác dân số trong tình hình mới;</w:t>
      </w:r>
    </w:p>
    <w:p w14:paraId="50FDF480">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i/>
          <w:color w:val="auto"/>
          <w:szCs w:val="28"/>
          <w:highlight w:val="none"/>
          <w:lang w:val="es-PR"/>
        </w:rPr>
      </w:pPr>
      <w:r>
        <w:rPr>
          <w:bCs/>
          <w:color w:val="auto"/>
          <w:sz w:val="28"/>
          <w:szCs w:val="28"/>
          <w:highlight w:val="none"/>
        </w:rPr>
        <w:t xml:space="preserve">- Căn cứ </w:t>
      </w:r>
      <w:r>
        <w:rPr>
          <w:iCs/>
          <w:color w:val="auto"/>
          <w:sz w:val="28"/>
          <w:szCs w:val="28"/>
          <w:highlight w:val="none"/>
        </w:rPr>
        <w:t>Luật Tổ chức chính quyền địa phương số 72/2025/QH15</w:t>
      </w:r>
      <w:r>
        <w:rPr>
          <w:color w:val="auto"/>
          <w:sz w:val="28"/>
          <w:szCs w:val="28"/>
          <w:highlight w:val="none"/>
        </w:rPr>
        <w:t xml:space="preserve"> </w:t>
      </w:r>
      <w:r>
        <w:rPr>
          <w:color w:val="auto"/>
          <w:sz w:val="28"/>
          <w:szCs w:val="28"/>
          <w:highlight w:val="none"/>
          <w:lang w:val="es-PR"/>
        </w:rPr>
        <w:t>ngày 16 tháng 6 năm 2025</w:t>
      </w:r>
      <w:r>
        <w:rPr>
          <w:bCs/>
          <w:color w:val="auto"/>
          <w:sz w:val="28"/>
          <w:szCs w:val="28"/>
          <w:highlight w:val="none"/>
        </w:rPr>
        <w:t>;</w:t>
      </w:r>
      <w:r>
        <w:rPr>
          <w:i/>
          <w:color w:val="auto"/>
          <w:szCs w:val="28"/>
          <w:highlight w:val="none"/>
          <w:lang w:val="es-PR"/>
        </w:rPr>
        <w:t xml:space="preserve"> </w:t>
      </w:r>
    </w:p>
    <w:p w14:paraId="44D5F605">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rStyle w:val="184"/>
          <w:iCs/>
          <w:color w:val="auto"/>
          <w:highlight w:val="none"/>
        </w:rPr>
      </w:pPr>
      <w:r>
        <w:rPr>
          <w:bCs/>
          <w:color w:val="auto"/>
          <w:sz w:val="28"/>
          <w:szCs w:val="28"/>
          <w:highlight w:val="none"/>
        </w:rPr>
        <w:t xml:space="preserve">- Căn cứ </w:t>
      </w:r>
      <w:r>
        <w:rPr>
          <w:rStyle w:val="184"/>
          <w:iCs/>
          <w:color w:val="auto"/>
          <w:highlight w:val="none"/>
          <w:lang w:val="es-PR"/>
        </w:rPr>
        <w:t>Luật Ngân sách nhà nước số 89/2025/QH15</w:t>
      </w:r>
      <w:r>
        <w:rPr>
          <w:rStyle w:val="184"/>
          <w:iCs/>
          <w:color w:val="auto"/>
          <w:highlight w:val="none"/>
        </w:rPr>
        <w:t xml:space="preserve"> ngày 25 tháng 6 năm 2025;</w:t>
      </w:r>
    </w:p>
    <w:p w14:paraId="6481FEB3">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Cs/>
          <w:color w:val="auto"/>
          <w:sz w:val="28"/>
          <w:szCs w:val="28"/>
          <w:highlight w:val="none"/>
        </w:rPr>
      </w:pPr>
      <w:r>
        <w:rPr>
          <w:bCs/>
          <w:color w:val="auto"/>
          <w:sz w:val="28"/>
          <w:szCs w:val="28"/>
          <w:highlight w:val="none"/>
        </w:rPr>
        <w:t>- Căn cứ Khoản 3 Điều 1 Luật số 87/2025/QH15 ngày 25 tháng 6 năm 2025 sửa đổi, bổ sung một số điều của Luật Ban hành văn bản quy phạm pháp luật;</w:t>
      </w:r>
    </w:p>
    <w:p w14:paraId="0722259B">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 Căn cứ Khoản 3 Điều 22 Luật Dân số số 113/2025/QH15 ngày 10 tháng 12 năm 2025;</w:t>
      </w:r>
    </w:p>
    <w:p w14:paraId="1714A4D0">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bCs/>
          <w:color w:val="auto"/>
          <w:sz w:val="28"/>
          <w:szCs w:val="28"/>
          <w:highlight w:val="none"/>
        </w:rPr>
        <w:t>- Căn cứ</w:t>
      </w:r>
      <w:r>
        <w:rPr>
          <w:b/>
          <w:bCs/>
          <w:color w:val="auto"/>
          <w:sz w:val="28"/>
          <w:szCs w:val="28"/>
          <w:highlight w:val="none"/>
        </w:rPr>
        <w:t xml:space="preserve"> </w:t>
      </w:r>
      <w:r>
        <w:rPr>
          <w:color w:val="auto"/>
          <w:sz w:val="28"/>
          <w:szCs w:val="28"/>
          <w:highlight w:val="none"/>
        </w:rPr>
        <w:t xml:space="preserve">Nghị quyết số 137/NQ-CP ngày 31/12/2017 của Chính phủ </w:t>
      </w:r>
      <w:r>
        <w:rPr>
          <w:color w:val="auto"/>
          <w:sz w:val="28"/>
          <w:szCs w:val="28"/>
          <w:highlight w:val="none"/>
        </w:rPr>
        <w:t>Ban hành Chương trình hành động của Chính phủ thực hiện Nghị quyết số 21-NQ/TW ngày 25 tháng 10 năm 2017 của Hội nghị lần thứ sáu Ban Chấp hành Trung ương Đảng khoá XII về công tác dân số trong tình hình mới;</w:t>
      </w:r>
    </w:p>
    <w:p w14:paraId="7299FD10">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Cs/>
          <w:color w:val="auto"/>
          <w:sz w:val="28"/>
          <w:szCs w:val="28"/>
          <w:highlight w:val="none"/>
        </w:rPr>
      </w:pPr>
      <w:r>
        <w:rPr>
          <w:bCs/>
          <w:color w:val="auto"/>
          <w:sz w:val="28"/>
          <w:szCs w:val="28"/>
          <w:highlight w:val="none"/>
        </w:rPr>
        <w:t>- Căn cứ Nghị định số 78/2025/NĐ-CP ngày ngày 01 tháng 4 năm 2025 của Chính phủ quy định chi tiết một số điều và biện pháp để tổ chức, hướng dẫn thi hành Luật Ban hành văn bản quy phạm pháp luật</w:t>
      </w:r>
      <w:r>
        <w:rPr>
          <w:color w:val="auto"/>
          <w:sz w:val="28"/>
          <w:szCs w:val="28"/>
          <w:highlight w:val="none"/>
        </w:rPr>
        <w:t>;</w:t>
      </w:r>
      <w:r>
        <w:rPr>
          <w:bCs/>
          <w:color w:val="auto"/>
          <w:sz w:val="28"/>
          <w:szCs w:val="28"/>
          <w:highlight w:val="none"/>
        </w:rPr>
        <w:t xml:space="preserve"> Nghị định số 187/2025/NĐ-CP ngày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 </w:t>
      </w:r>
    </w:p>
    <w:p w14:paraId="16136964">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 xml:space="preserve"> - Căn cứ Quyết định số 1679/QĐ-TTg ngày 22/11/2019 của Thủ tướng Chính phủ phê duyệt Chiến lược Dân số Việt Nam đến năm 2030; </w:t>
      </w:r>
    </w:p>
    <w:p w14:paraId="19929D77">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iCs/>
          <w:color w:val="auto"/>
          <w:sz w:val="28"/>
          <w:szCs w:val="28"/>
          <w:highlight w:val="none"/>
        </w:rPr>
        <w:t>- Căn cứ Quyết định số 221/QĐ-HĐND ngày 12/02/2026 của Thường trực HĐND tỉnh ban hành danh mục Nghị quyết của Hội đồng nhân dân tỉnh Lạng Sơn quy định chi tiết các luật, nghị quyết được Quốc hội khóa XV thông qua tại kỳ họp thứ 10.</w:t>
      </w:r>
    </w:p>
    <w:p w14:paraId="29DAF999">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b/>
          <w:color w:val="auto"/>
          <w:sz w:val="28"/>
          <w:szCs w:val="28"/>
          <w:highlight w:val="none"/>
        </w:rPr>
      </w:pPr>
      <w:r>
        <w:rPr>
          <w:b/>
          <w:color w:val="auto"/>
          <w:sz w:val="28"/>
          <w:szCs w:val="28"/>
          <w:highlight w:val="none"/>
        </w:rPr>
        <w:t xml:space="preserve">2. Cơ sở thực tiễn </w:t>
      </w:r>
    </w:p>
    <w:p w14:paraId="7F8D34DA">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Lạng Sơn là tỉnh miền núi, biên giới phía Đông Bắc của Tổ quốc, có đặc thù dân cư với tỷ lệ đồng bào dân tộc thiểu số chiếm đa số, đời sống kinh tế của người dân còn gặp nhiều khó khăn với tỷ lệ hộ nghèo và hộ cận nghèo còn ở mức cao. Lạng Sơn vẫn thuộc nhóm địa phương có mức sinh cao của cả nước</w:t>
      </w:r>
      <w:r>
        <w:rPr>
          <w:rFonts w:hint="default"/>
          <w:color w:val="auto"/>
          <w:sz w:val="28"/>
          <w:szCs w:val="28"/>
          <w:highlight w:val="none"/>
          <w:lang w:val="en-US"/>
        </w:rPr>
        <w:t>. T</w:t>
      </w:r>
      <w:r>
        <w:rPr>
          <w:color w:val="auto"/>
          <w:sz w:val="28"/>
          <w:szCs w:val="28"/>
          <w:highlight w:val="none"/>
        </w:rPr>
        <w:t xml:space="preserve">heo số liệu của </w:t>
      </w:r>
      <w:r>
        <w:rPr>
          <w:rFonts w:hint="default"/>
          <w:color w:val="auto"/>
          <w:sz w:val="28"/>
          <w:szCs w:val="28"/>
          <w:highlight w:val="none"/>
          <w:lang w:val="en-US"/>
        </w:rPr>
        <w:t>T</w:t>
      </w:r>
      <w:r>
        <w:rPr>
          <w:color w:val="auto"/>
          <w:sz w:val="28"/>
          <w:szCs w:val="28"/>
          <w:highlight w:val="none"/>
        </w:rPr>
        <w:t>hống kê</w:t>
      </w:r>
      <w:r>
        <w:rPr>
          <w:rFonts w:hint="default"/>
          <w:color w:val="auto"/>
          <w:sz w:val="28"/>
          <w:szCs w:val="28"/>
          <w:highlight w:val="none"/>
          <w:lang w:val="en-US"/>
        </w:rPr>
        <w:t xml:space="preserve"> tỉnh</w:t>
      </w:r>
      <w:r>
        <w:rPr>
          <w:color w:val="auto"/>
          <w:sz w:val="28"/>
          <w:szCs w:val="28"/>
          <w:highlight w:val="none"/>
        </w:rPr>
        <w:t xml:space="preserve">, tỷ lệ tăng dân số tự nhiên năm 2025 là 3,65‰; tổng tỷ suất sinh đạt 2,45 con/phụ nữ, cao hơn </w:t>
      </w:r>
      <w:r>
        <w:rPr>
          <w:color w:val="auto"/>
          <w:sz w:val="28"/>
          <w:szCs w:val="28"/>
          <w:highlight w:val="none"/>
          <w:lang w:val="en-US"/>
        </w:rPr>
        <w:t>đ</w:t>
      </w:r>
      <w:r>
        <w:rPr>
          <w:rFonts w:hint="default"/>
          <w:color w:val="auto"/>
          <w:sz w:val="28"/>
          <w:szCs w:val="28"/>
          <w:highlight w:val="none"/>
          <w:lang w:val="en-US"/>
        </w:rPr>
        <w:t xml:space="preserve">áng kể so với </w:t>
      </w:r>
      <w:r>
        <w:rPr>
          <w:color w:val="auto"/>
          <w:sz w:val="28"/>
          <w:szCs w:val="28"/>
          <w:highlight w:val="none"/>
        </w:rPr>
        <w:t>mức sinh thay thế</w:t>
      </w:r>
      <w:r>
        <w:rPr>
          <w:rFonts w:hint="default"/>
          <w:color w:val="auto"/>
          <w:sz w:val="28"/>
          <w:szCs w:val="28"/>
          <w:highlight w:val="none"/>
          <w:lang w:val="en-US"/>
        </w:rPr>
        <w:t xml:space="preserve"> </w:t>
      </w:r>
      <w:r>
        <w:rPr>
          <w:color w:val="auto"/>
          <w:sz w:val="28"/>
          <w:szCs w:val="28"/>
          <w:highlight w:val="none"/>
        </w:rPr>
        <w:t>(2,1 con/phụ nữ)</w:t>
      </w:r>
      <w:r>
        <w:rPr>
          <w:rStyle w:val="19"/>
          <w:color w:val="auto"/>
          <w:sz w:val="28"/>
          <w:szCs w:val="28"/>
          <w:highlight w:val="none"/>
        </w:rPr>
        <w:footnoteReference w:id="0"/>
      </w:r>
      <w:r>
        <w:rPr>
          <w:color w:val="auto"/>
          <w:sz w:val="28"/>
          <w:szCs w:val="28"/>
          <w:highlight w:val="none"/>
        </w:rPr>
        <w:t xml:space="preserve">. Tỷ lệ sinh con thứ ba trở lên là 16,8%, ở mức cao, cho thấy nhu cầu tiếp tục tăng cường công tác dân số và kế hoạch hóa gia đình trên địa bàn tỉnh. </w:t>
      </w:r>
    </w:p>
    <w:p w14:paraId="46E6ECDA">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Mặt khác</w:t>
      </w:r>
      <w:r>
        <w:rPr>
          <w:rFonts w:hint="default"/>
          <w:color w:val="auto"/>
          <w:sz w:val="28"/>
          <w:szCs w:val="28"/>
          <w:highlight w:val="none"/>
          <w:lang w:val="en-US"/>
        </w:rPr>
        <w:t>,</w:t>
      </w:r>
      <w:r>
        <w:rPr>
          <w:color w:val="auto"/>
          <w:sz w:val="28"/>
          <w:szCs w:val="28"/>
          <w:highlight w:val="none"/>
        </w:rPr>
        <w:t xml:space="preserve"> theo số liệu của </w:t>
      </w:r>
      <w:r>
        <w:rPr>
          <w:rFonts w:hint="default"/>
          <w:color w:val="auto"/>
          <w:sz w:val="28"/>
          <w:szCs w:val="28"/>
          <w:highlight w:val="none"/>
          <w:lang w:val="en-US"/>
        </w:rPr>
        <w:t>T</w:t>
      </w:r>
      <w:r>
        <w:rPr>
          <w:color w:val="auto"/>
          <w:sz w:val="28"/>
          <w:szCs w:val="28"/>
          <w:highlight w:val="none"/>
        </w:rPr>
        <w:t xml:space="preserve">hống kê tỉnh, dân số trong độ tuổi lao động (từ 15 đến 59 tuổi) chiếm khoảng 60,38% tổng dân số, trong khi tỷ lệ người từ 65 tuổi trở lên chiếm khoảng 7,78%. Điều này </w:t>
      </w:r>
      <w:r>
        <w:rPr>
          <w:rFonts w:hint="default"/>
          <w:color w:val="auto"/>
          <w:sz w:val="28"/>
          <w:szCs w:val="28"/>
          <w:highlight w:val="none"/>
          <w:lang w:val="en-US"/>
        </w:rPr>
        <w:t>khẳng định</w:t>
      </w:r>
      <w:r>
        <w:rPr>
          <w:color w:val="auto"/>
          <w:sz w:val="28"/>
          <w:szCs w:val="28"/>
          <w:highlight w:val="none"/>
        </w:rPr>
        <w:t xml:space="preserve"> tỉnh Lạng Sơn vẫn đang trong thời kỳ dân số vàng</w:t>
      </w:r>
      <w:r>
        <w:rPr>
          <w:rFonts w:hint="default"/>
          <w:color w:val="auto"/>
          <w:sz w:val="28"/>
          <w:szCs w:val="28"/>
          <w:highlight w:val="none"/>
          <w:lang w:val="en-US"/>
        </w:rPr>
        <w:t>,</w:t>
      </w:r>
      <w:r>
        <w:rPr>
          <w:color w:val="auto"/>
          <w:sz w:val="28"/>
          <w:szCs w:val="28"/>
          <w:highlight w:val="none"/>
        </w:rPr>
        <w:t xml:space="preserve"> </w:t>
      </w:r>
      <w:r>
        <w:rPr>
          <w:rFonts w:hint="default"/>
          <w:color w:val="auto"/>
          <w:sz w:val="28"/>
          <w:szCs w:val="28"/>
          <w:highlight w:val="none"/>
          <w:lang w:val="en-US"/>
        </w:rPr>
        <w:t>sở hữu</w:t>
      </w:r>
      <w:r>
        <w:rPr>
          <w:color w:val="auto"/>
          <w:sz w:val="28"/>
          <w:szCs w:val="28"/>
          <w:highlight w:val="none"/>
        </w:rPr>
        <w:t xml:space="preserve"> nguồn nhân lực tương đối dồi dào và chưa đối mặt với nguy cơ già hóa dân số trong ngắn hạn (10 năm). Vì vậy, việc tập trung nguồn lực </w:t>
      </w:r>
      <w:r>
        <w:rPr>
          <w:rFonts w:hint="default"/>
          <w:color w:val="auto"/>
          <w:sz w:val="28"/>
          <w:szCs w:val="28"/>
          <w:highlight w:val="none"/>
          <w:lang w:val="en-US"/>
        </w:rPr>
        <w:t>nhằm</w:t>
      </w:r>
      <w:r>
        <w:rPr>
          <w:color w:val="auto"/>
          <w:sz w:val="28"/>
          <w:szCs w:val="28"/>
          <w:highlight w:val="none"/>
        </w:rPr>
        <w:t xml:space="preserve"> giảm mức sinh từ 2,45 con/phụ nữ xuống mức sinh thay thế (2,1 con/phụ nữ) là </w:t>
      </w:r>
      <w:r>
        <w:rPr>
          <w:rFonts w:hint="default"/>
          <w:color w:val="auto"/>
          <w:sz w:val="28"/>
          <w:szCs w:val="28"/>
          <w:highlight w:val="none"/>
          <w:lang w:val="en-US"/>
        </w:rPr>
        <w:t xml:space="preserve">hoàn toàn </w:t>
      </w:r>
      <w:r>
        <w:rPr>
          <w:color w:val="auto"/>
          <w:sz w:val="28"/>
          <w:szCs w:val="28"/>
          <w:highlight w:val="none"/>
        </w:rPr>
        <w:t>phù hợp với đặc điểm dân số hiện nay của tỉnh, góp phần ổn định quy mô dân số, nâng cao chất lượng dân số và bảo đảm phát triển kinh tế - xã hội bền vững trong dài hạn.</w:t>
      </w:r>
    </w:p>
    <w:p w14:paraId="50A5B3D0">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color w:val="auto"/>
          <w:sz w:val="28"/>
          <w:szCs w:val="28"/>
          <w:highlight w:val="none"/>
        </w:rPr>
      </w:pPr>
      <w:r>
        <w:rPr>
          <w:color w:val="auto"/>
          <w:sz w:val="28"/>
          <w:szCs w:val="28"/>
          <w:highlight w:val="none"/>
        </w:rPr>
        <w:t xml:space="preserve">Giai đoạn 2021-2025 là </w:t>
      </w:r>
      <w:r>
        <w:rPr>
          <w:rFonts w:hint="default"/>
          <w:color w:val="auto"/>
          <w:sz w:val="28"/>
          <w:szCs w:val="28"/>
          <w:highlight w:val="none"/>
          <w:lang w:val="en-US"/>
        </w:rPr>
        <w:t>thời kỳ</w:t>
      </w:r>
      <w:r>
        <w:rPr>
          <w:color w:val="auto"/>
          <w:sz w:val="28"/>
          <w:szCs w:val="28"/>
          <w:highlight w:val="none"/>
        </w:rPr>
        <w:t xml:space="preserve"> chuyển tiếp đầy khó khăn khi Chương trình Mục tiêu Y tế - Dân số chính thức kết thúc, nguồn cung cấp phương tiện tránh thai miễn phí từ Trung ương bị cắt giảm và kênh cung cấp có trợ giá thuộc Đề án 818 cũng đã dừng hoạt động từ tháng 5 năm 2025. Thực tế này buộc người dân hiện nay phải tự chi trả 100% chi phí theo giá thị trường thương mại, tạo ra rào cản tài chính quá lớn khiến tỷ lệ sử dụng biện pháp tránh thai hiện đại có nguy cơ sụt giảm sâu. Đồng thời, mạng lưới y tế cơ sở hiện nay rơi vào tình trạng thiếu hụt thuốc, vật tư và kinh phí để thực hiện các thủ thuật kế hoạch hóa gia đình cho người dân. </w:t>
      </w:r>
    </w:p>
    <w:p w14:paraId="48903DC8">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color w:val="auto"/>
          <w:sz w:val="28"/>
          <w:szCs w:val="28"/>
          <w:highlight w:val="none"/>
        </w:rPr>
      </w:pPr>
      <w:r>
        <w:rPr>
          <w:rFonts w:hint="default"/>
          <w:color w:val="auto"/>
          <w:sz w:val="28"/>
          <w:szCs w:val="28"/>
          <w:highlight w:val="none"/>
        </w:rPr>
        <w:t xml:space="preserve">Bên cạnh đó, quy mô phụ nữ trong độ tuổi sinh đẻ (từ 15 đến 49 tuổi) trên địa bàn tỉnh Lạng Sơn hiện vẫn chiếm tỷ trọng lớn trong cơ cấu dân số địa phương. Theo số liệu của Thống kê </w:t>
      </w:r>
      <w:r>
        <w:rPr>
          <w:rFonts w:hint="default"/>
          <w:color w:val="auto"/>
          <w:sz w:val="28"/>
          <w:szCs w:val="28"/>
          <w:highlight w:val="none"/>
          <w:lang w:val="en-US"/>
        </w:rPr>
        <w:t>tỉnh</w:t>
      </w:r>
      <w:r>
        <w:rPr>
          <w:rFonts w:hint="default"/>
          <w:color w:val="auto"/>
          <w:sz w:val="28"/>
          <w:szCs w:val="28"/>
          <w:highlight w:val="none"/>
        </w:rPr>
        <w:t>, tính đến năm 2025, tổng số phụ nữ trong độ tuổi sinh đẻ của toàn tỉnh đạt 98.600 người, chiếm 12,02% tổng dân số toàn tỉnh (trên quy mô dân số trung bình của địa phương là 820.632 người). Với quy mô đối tượng lớn như trên, nếu không có các giải pháp phù hợp nhằm nâng cao khả năng tiếp cận phương tiện tránh thai và dịch vụ kế hoạch hóa gia đình, việc duy trì mức sinh hợp lý, kiểm soát tỷ lệ sinh con thứ ba trở lên (hiện đang ở mức cao 16,8%) và chủ động thích ứng với những thay đổi về cơ cấu dân số trên địa bàn tỉnh sẽ gặp nhiều khó khăn, thách thức.</w:t>
      </w:r>
      <w:r>
        <w:rPr>
          <w:rFonts w:hint="default"/>
          <w:color w:val="auto"/>
          <w:sz w:val="28"/>
          <w:szCs w:val="28"/>
          <w:highlight w:val="none"/>
          <w:lang w:val="en-US"/>
        </w:rPr>
        <w:t xml:space="preserve"> </w:t>
      </w:r>
      <w:r>
        <w:rPr>
          <w:color w:val="auto"/>
          <w:sz w:val="28"/>
          <w:szCs w:val="28"/>
          <w:highlight w:val="none"/>
        </w:rPr>
        <w:t>Do đó, việc ban hành chính sách hỗ trợ phương tiện tránh thai và chi phí dịch vụ kế hoạch hóa gia đình là cần thiết nhằm cụ thể hóa quy định tại Khoản 3 Điều 22 Luật Dân số về trách nhiệm của chính quyền địa phương trong công tác dân số. Nghị quyết sử dụng nguồn ngân sách địa phương để hỗ trợ phụ nữ đã sinh đủ 02 con sẽ tạo cơ sở pháp lý cho việc triển khai các giải pháp duy trì mức sinh hợp lý, góp phần ổn định quy mô dân số, nâng cao chất lượng cuộc sống của người dân và bảo đảm an sinh xã hội trên địa bàn tỉnh.</w:t>
      </w:r>
    </w:p>
    <w:p w14:paraId="004BC0B8">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bCs/>
          <w:color w:val="auto"/>
          <w:spacing w:val="-8"/>
          <w:sz w:val="28"/>
          <w:szCs w:val="28"/>
          <w:highlight w:val="none"/>
          <w:lang w:val="sv-FI"/>
        </w:rPr>
      </w:pPr>
      <w:r>
        <w:rPr>
          <w:b/>
          <w:bCs/>
          <w:color w:val="auto"/>
          <w:spacing w:val="-8"/>
          <w:sz w:val="28"/>
          <w:szCs w:val="28"/>
          <w:highlight w:val="none"/>
          <w:lang w:val="sv-FI"/>
        </w:rPr>
        <w:t>II. MỤC ĐÍCH, QUAN ĐIỂM XÂY DỰNG NGHỊ QUYẾT</w:t>
      </w:r>
    </w:p>
    <w:p w14:paraId="2A811E03">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bCs/>
          <w:color w:val="auto"/>
          <w:sz w:val="28"/>
          <w:szCs w:val="28"/>
          <w:highlight w:val="none"/>
          <w:lang w:val="sv-FI"/>
        </w:rPr>
      </w:pPr>
      <w:r>
        <w:rPr>
          <w:b/>
          <w:bCs/>
          <w:color w:val="auto"/>
          <w:sz w:val="28"/>
          <w:szCs w:val="28"/>
          <w:highlight w:val="none"/>
          <w:lang w:val="sv-FI"/>
        </w:rPr>
        <w:t>1. Mục đích ban hành Nghị quyết</w:t>
      </w:r>
    </w:p>
    <w:p w14:paraId="71E4A5A7">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Việc ban hành Nghị quyết nhằm kịp thời cụ thể hóa hành lang pháp lý của Luật Dân số, xác định rõ thẩm quyền và trách nhiệm của chính quyền địa phương trong việc chủ động sử dụng nguồn lực ngân sách tỉnh để thực hiện các mục tiêu chiến lược về dân số và phát triển. Về mặt thực tiễn, văn bản được ban hành nhằm mục đích thiết lập cơ chế hỗ trợ tài chính toàn diện, tháo gỡ triệt để rào cản chi phí thị trường, giúp phụ nữ trong độ tuổi sinh đẻ đã sinh đủ hai con được tiếp cận liên tục, kịp thời các phương tiện tránh thai lâm sàng, phi lâm sàng và dịch vụ kế hoạch hóa gia đình an toàn tại tuyến y tế cơ sở.</w:t>
      </w:r>
    </w:p>
    <w:p w14:paraId="35B1882C">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Thông qua chính sách này, tỉnh Lạng Sơn hướng tới mục đích kiểm soát hiệu quả quy mô dân số, đẩy lùi các tư tưởng và hủ tục lạc hậu về quy mô gia đình đông con, từ đó kéo giảm tỷ lệ sinh con thứ ba trở lên và đưa tổng tỷ suất sinh từ mức đỉnh 2,45 con/phụ nữ hiện nay tiến dần về mức sinh thay thế bền vững. Mục tiêu lâu dài và xuyên suốt của Nghị quyết là bảo vệ sức khỏe sinh sản, nâng cao vị thế của phụ nữ dân tộc thiểu số, đồng thời giảm bớt gánh nặng kinh tế cho các hộ gia đình, bảo vệ vững chắc thành quả giảm nghèo, làm giảm áp lực quá tải hạ tầng an sinh xã hội, y tế, giáo dục, làm cơ sở nâng cao toàn diện chất lượng nguồn nhân lực phục vụ phát triển kinh tế - xã hội bền vững của tỉnh.</w:t>
      </w:r>
    </w:p>
    <w:p w14:paraId="737AE95F">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bCs/>
          <w:color w:val="auto"/>
          <w:sz w:val="28"/>
          <w:szCs w:val="28"/>
          <w:highlight w:val="none"/>
          <w:lang w:val="sv-FI"/>
        </w:rPr>
      </w:pPr>
      <w:r>
        <w:rPr>
          <w:b/>
          <w:bCs/>
          <w:color w:val="auto"/>
          <w:sz w:val="28"/>
          <w:szCs w:val="28"/>
          <w:highlight w:val="none"/>
          <w:lang w:val="sv-FI"/>
        </w:rPr>
        <w:t>2. Quan điểm xây dựng Nghị quyết</w:t>
      </w:r>
    </w:p>
    <w:p w14:paraId="21CBAF33">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rFonts w:eastAsia="Calibri"/>
          <w:color w:val="auto"/>
          <w:sz w:val="28"/>
          <w:szCs w:val="28"/>
          <w:highlight w:val="none"/>
          <w:shd w:val="clear" w:color="auto" w:fill="FFFFFF"/>
          <w:lang w:val="pt-BR"/>
        </w:rPr>
        <w:t xml:space="preserve">Quy trình xây dựng và ban hành Nghị quyết </w:t>
      </w:r>
      <w:r>
        <w:rPr>
          <w:color w:val="auto"/>
          <w:spacing w:val="-2"/>
          <w:sz w:val="28"/>
          <w:szCs w:val="28"/>
          <w:highlight w:val="none"/>
        </w:rPr>
        <w:t xml:space="preserve">của HĐND tỉnh quy định </w:t>
      </w:r>
      <w:r>
        <w:rPr>
          <w:bCs/>
          <w:color w:val="auto"/>
          <w:sz w:val="28"/>
          <w:szCs w:val="28"/>
          <w:highlight w:val="none"/>
        </w:rPr>
        <w:t xml:space="preserve">chính sách hỗ trợ kinh phí mua phương tiện tránh thai và chi phí dịch vụ kế hoạch hóa gia đình  </w:t>
      </w:r>
      <w:r>
        <w:rPr>
          <w:color w:val="auto"/>
          <w:sz w:val="28"/>
          <w:szCs w:val="28"/>
          <w:highlight w:val="none"/>
        </w:rPr>
        <w:t xml:space="preserve">đối với phụ nữ sinh đủ 02 con </w:t>
      </w:r>
      <w:r>
        <w:rPr>
          <w:color w:val="auto"/>
          <w:sz w:val="28"/>
          <w:szCs w:val="28"/>
          <w:highlight w:val="none"/>
        </w:rPr>
        <w:t>trên địa bàn tỉnh Lạng Sơn</w:t>
      </w:r>
      <w:r>
        <w:rPr>
          <w:color w:val="auto"/>
          <w:sz w:val="28"/>
          <w:szCs w:val="28"/>
          <w:highlight w:val="none"/>
        </w:rPr>
        <w:t xml:space="preserve"> </w:t>
      </w:r>
      <w:r>
        <w:rPr>
          <w:rFonts w:eastAsia="Calibri"/>
          <w:iCs/>
          <w:color w:val="auto"/>
          <w:sz w:val="28"/>
          <w:szCs w:val="28"/>
          <w:highlight w:val="none"/>
          <w:lang w:val="nl-NL"/>
        </w:rPr>
        <w:t>phù hợp quy định của pháp luật hiện hành, phù hợp với tình hình thực tế và ngân sách của tỉnh, mang tính khả thi, đảm bảo trình tự, thủ tục theo quy định.</w:t>
      </w:r>
    </w:p>
    <w:p w14:paraId="537C89CD">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rFonts w:eastAsia="Calibri"/>
          <w:b/>
          <w:iCs/>
          <w:color w:val="auto"/>
          <w:sz w:val="28"/>
          <w:szCs w:val="28"/>
          <w:highlight w:val="none"/>
          <w:lang w:val="nl-NL"/>
        </w:rPr>
      </w:pPr>
      <w:r>
        <w:rPr>
          <w:rFonts w:eastAsia="Calibri"/>
          <w:b/>
          <w:iCs/>
          <w:color w:val="auto"/>
          <w:sz w:val="28"/>
          <w:szCs w:val="28"/>
          <w:highlight w:val="none"/>
          <w:lang w:val="nl-NL"/>
        </w:rPr>
        <w:t>III. QUÁ TRÌNH XÂY DỰNG DỰ THẢO NGHỊ QUYẾT</w:t>
      </w:r>
    </w:p>
    <w:p w14:paraId="6048A2D3">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shd w:val="clear" w:color="auto" w:fill="FFFFFF"/>
          <w:lang w:val="vi-VN"/>
        </w:rPr>
        <w:t xml:space="preserve"> </w:t>
      </w:r>
      <w:r>
        <w:rPr>
          <w:iCs/>
          <w:color w:val="auto"/>
          <w:sz w:val="28"/>
          <w:szCs w:val="28"/>
          <w:highlight w:val="none"/>
        </w:rPr>
        <w:t xml:space="preserve">Thực hiện văn bản số 1239/VP-NC ngày 14/02/2026 của Văn phòng UBND tỉnh về việc </w:t>
      </w:r>
      <w:r>
        <w:rPr>
          <w:color w:val="auto"/>
          <w:sz w:val="28"/>
          <w:szCs w:val="28"/>
          <w:highlight w:val="none"/>
        </w:rPr>
        <w:t>xây dựng Nghị quyết quy định chi tiết các Luật, Nghị quyết được Quốc hội khóa XV thông qua tại kỳ họp thứ 10; Công văn số 3058/VP-KGVX ngày 17/4/2026 của Văn phòng UBND tỉnh Lạng Sơn về việc giao tham mưu xây dựng dự thảo các Nghị quyết của HĐND tỉnh quy định chi tiết Luật Dân số</w:t>
      </w:r>
      <w:r>
        <w:rPr>
          <w:rStyle w:val="184"/>
          <w:color w:val="auto"/>
          <w:szCs w:val="28"/>
          <w:highlight w:val="none"/>
        </w:rPr>
        <w:t xml:space="preserve">. Sở Y tế </w:t>
      </w:r>
      <w:r>
        <w:rPr>
          <w:i/>
          <w:color w:val="auto"/>
          <w:sz w:val="28"/>
          <w:szCs w:val="28"/>
          <w:highlight w:val="none"/>
        </w:rPr>
        <w:t>(</w:t>
      </w:r>
      <w:r>
        <w:rPr>
          <w:i/>
          <w:iCs/>
          <w:color w:val="auto"/>
          <w:sz w:val="28"/>
          <w:szCs w:val="28"/>
          <w:highlight w:val="none"/>
        </w:rPr>
        <w:t>cơ quan chủ trì soạn thảo</w:t>
      </w:r>
      <w:r>
        <w:rPr>
          <w:i/>
          <w:color w:val="auto"/>
          <w:sz w:val="28"/>
          <w:szCs w:val="28"/>
          <w:highlight w:val="none"/>
        </w:rPr>
        <w:t xml:space="preserve">) </w:t>
      </w:r>
      <w:r>
        <w:rPr>
          <w:color w:val="auto"/>
          <w:sz w:val="28"/>
          <w:szCs w:val="28"/>
          <w:highlight w:val="none"/>
        </w:rPr>
        <w:t xml:space="preserve">đã </w:t>
      </w:r>
      <w:r>
        <w:rPr>
          <w:color w:val="auto"/>
          <w:sz w:val="28"/>
          <w:szCs w:val="28"/>
          <w:highlight w:val="none"/>
          <w:lang w:val="vi-VN"/>
        </w:rPr>
        <w:t xml:space="preserve">phối hợp với các cơ quan liên quan </w:t>
      </w:r>
      <w:r>
        <w:rPr>
          <w:color w:val="auto"/>
          <w:sz w:val="28"/>
          <w:szCs w:val="28"/>
          <w:highlight w:val="none"/>
        </w:rPr>
        <w:t>thực hiện như sau:</w:t>
      </w:r>
    </w:p>
    <w:p w14:paraId="73DC2EE8">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color w:val="auto"/>
          <w:sz w:val="28"/>
          <w:szCs w:val="28"/>
          <w:highlight w:val="none"/>
        </w:rPr>
      </w:pPr>
      <w:r>
        <w:rPr>
          <w:color w:val="auto"/>
          <w:sz w:val="28"/>
          <w:szCs w:val="28"/>
          <w:highlight w:val="none"/>
        </w:rPr>
        <w:t xml:space="preserve">(1) Phối hợp với UBND các xã/phường rà soát, đánh giá việc kết quả thực hiện </w:t>
      </w:r>
      <w:r>
        <w:rPr>
          <w:color w:val="auto"/>
          <w:sz w:val="28"/>
          <w:szCs w:val="28"/>
          <w:highlight w:val="none"/>
        </w:rPr>
        <w:t>các dịch vụ kế hoạch hóa gia đình trên địa bàn tỉnh Lạng Sơn.</w:t>
      </w:r>
    </w:p>
    <w:p w14:paraId="0091D6ED">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color w:val="auto"/>
          <w:sz w:val="28"/>
          <w:szCs w:val="28"/>
          <w:highlight w:val="none"/>
        </w:rPr>
      </w:pPr>
      <w:r>
        <w:rPr>
          <w:color w:val="auto"/>
          <w:sz w:val="28"/>
          <w:szCs w:val="28"/>
          <w:highlight w:val="none"/>
        </w:rPr>
        <w:t xml:space="preserve"> (2) Ban hành Báo cáo số 290/BC-SYT ngày 25/5/2026 của Sở Y tế </w:t>
      </w:r>
      <w:r>
        <w:rPr>
          <w:color w:val="auto"/>
          <w:sz w:val="28"/>
          <w:szCs w:val="28"/>
          <w:highlight w:val="none"/>
        </w:rPr>
        <w:t>Tổng kết, đánh giá tình hình thực hiện các dịch vụ kế hoạch hóa gia đình trên địa bàn tỉnh Lạng Sơn</w:t>
      </w:r>
      <w:r>
        <w:rPr>
          <w:color w:val="auto"/>
          <w:sz w:val="28"/>
          <w:szCs w:val="28"/>
          <w:highlight w:val="none"/>
        </w:rPr>
        <w:t xml:space="preserve">. </w:t>
      </w:r>
    </w:p>
    <w:p w14:paraId="5DE1CE71">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color w:val="auto"/>
          <w:sz w:val="28"/>
          <w:szCs w:val="28"/>
          <w:highlight w:val="none"/>
        </w:rPr>
      </w:pPr>
      <w:r>
        <w:rPr>
          <w:color w:val="auto"/>
          <w:sz w:val="28"/>
          <w:szCs w:val="28"/>
          <w:highlight w:val="none"/>
        </w:rPr>
        <w:t xml:space="preserve">(3) Trên cơ sở Quyết định của HĐND tỉnh, Sở Y tế xây dựng hồ sơ dự thảo Nghị quyết xin ý kiến tham gia góp ý của các Sở ngành, Ủy ban MTTQ tỉnh, các đơn vị và UBND xã/phường; đồng thời đăng tải hồ sơ dự thảo Nghị quyết trên Cổng thông tin điện tử tỉnh lấy ý kiến của các cơ quan, đơn vị và người dân.   </w:t>
      </w:r>
    </w:p>
    <w:p w14:paraId="44B2EE00">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color w:val="auto"/>
          <w:sz w:val="28"/>
          <w:szCs w:val="28"/>
          <w:highlight w:val="none"/>
        </w:rPr>
      </w:pPr>
      <w:r>
        <w:rPr>
          <w:color w:val="auto"/>
          <w:sz w:val="28"/>
          <w:szCs w:val="28"/>
          <w:highlight w:val="none"/>
        </w:rPr>
        <w:t xml:space="preserve">(4) Tổng hợp, tiếp thu chỉnh sửa, bổ sung, hoàn thiện hồ sơ dự thảo Nghị quyết. </w:t>
      </w:r>
    </w:p>
    <w:p w14:paraId="7ABC7033">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color w:val="auto"/>
          <w:sz w:val="28"/>
          <w:szCs w:val="28"/>
          <w:highlight w:val="none"/>
        </w:rPr>
      </w:pPr>
      <w:r>
        <w:rPr>
          <w:color w:val="auto"/>
          <w:sz w:val="28"/>
          <w:szCs w:val="28"/>
          <w:highlight w:val="none"/>
        </w:rPr>
        <w:t xml:space="preserve">(5) Gửi Sở Tư pháp thẩm định hồ sơ dự thảo Nghị quyết. </w:t>
      </w:r>
    </w:p>
    <w:p w14:paraId="1F01F519">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color w:val="auto"/>
          <w:spacing w:val="-4"/>
          <w:sz w:val="28"/>
          <w:szCs w:val="28"/>
          <w:highlight w:val="none"/>
        </w:rPr>
      </w:pPr>
      <w:r>
        <w:rPr>
          <w:color w:val="auto"/>
          <w:spacing w:val="-4"/>
          <w:sz w:val="28"/>
          <w:szCs w:val="28"/>
          <w:highlight w:val="none"/>
        </w:rPr>
        <w:t xml:space="preserve">(6) Tiếp thu ý kiến thẩm định của Sở Tư pháp, hoàn thiện hồ sơ dự thảo Nghị quyết báo cáo UBND tỉnh xem xét trình HĐND tỉnh. </w:t>
      </w:r>
    </w:p>
    <w:p w14:paraId="2D849217">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b/>
          <w:bCs/>
          <w:color w:val="auto"/>
          <w:spacing w:val="-14"/>
          <w:sz w:val="28"/>
          <w:szCs w:val="28"/>
          <w:highlight w:val="none"/>
          <w:lang w:val="nl-NL"/>
        </w:rPr>
      </w:pPr>
      <w:r>
        <w:rPr>
          <w:b/>
          <w:bCs/>
          <w:color w:val="auto"/>
          <w:spacing w:val="-14"/>
          <w:sz w:val="28"/>
          <w:szCs w:val="28"/>
          <w:highlight w:val="none"/>
          <w:lang w:val="nl-NL"/>
        </w:rPr>
        <w:t xml:space="preserve">IV. BỐ  CỤC  VÀ  NỘI  DUNG CƠ  BẢN  CỦA  DỰ THẢO VĂN  BẢN </w:t>
      </w:r>
    </w:p>
    <w:p w14:paraId="00DF3BCB">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color w:val="auto"/>
          <w:sz w:val="28"/>
          <w:szCs w:val="28"/>
          <w:highlight w:val="none"/>
          <w:lang w:val="nl-NL"/>
        </w:rPr>
      </w:pPr>
      <w:r>
        <w:rPr>
          <w:b/>
          <w:color w:val="auto"/>
          <w:sz w:val="28"/>
          <w:szCs w:val="28"/>
          <w:highlight w:val="none"/>
          <w:lang w:val="nl-NL"/>
        </w:rPr>
        <w:t>1.</w:t>
      </w:r>
      <w:r>
        <w:rPr>
          <w:b/>
          <w:color w:val="auto"/>
          <w:sz w:val="28"/>
          <w:szCs w:val="28"/>
          <w:highlight w:val="none"/>
          <w:lang w:val="vi-VN"/>
        </w:rPr>
        <w:t xml:space="preserve"> </w:t>
      </w:r>
      <w:r>
        <w:rPr>
          <w:b/>
          <w:color w:val="auto"/>
          <w:sz w:val="28"/>
          <w:szCs w:val="28"/>
          <w:highlight w:val="none"/>
          <w:lang w:val="nl-NL"/>
        </w:rPr>
        <w:t xml:space="preserve">Phạm vi điều chỉnh, đối tượng áp dụng </w:t>
      </w:r>
    </w:p>
    <w:p w14:paraId="4EFD4D3B">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color w:val="auto"/>
          <w:sz w:val="28"/>
          <w:szCs w:val="28"/>
          <w:highlight w:val="none"/>
          <w:lang w:val="nl-NL"/>
        </w:rPr>
      </w:pPr>
      <w:r>
        <w:rPr>
          <w:b/>
          <w:color w:val="auto"/>
          <w:sz w:val="28"/>
          <w:szCs w:val="28"/>
          <w:highlight w:val="none"/>
        </w:rPr>
        <w:t>1.</w:t>
      </w:r>
      <w:r>
        <w:rPr>
          <w:b/>
          <w:color w:val="auto"/>
          <w:sz w:val="28"/>
          <w:szCs w:val="28"/>
          <w:highlight w:val="none"/>
          <w:lang w:val="nl-NL"/>
        </w:rPr>
        <w:t>1. Phạm vi điều chỉnh</w:t>
      </w:r>
    </w:p>
    <w:p w14:paraId="6D6C474D">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lang w:val="nl-NL"/>
        </w:rPr>
        <w:t>Nghị quyết này quy định hỗ trợ phương tiện tránh thai và chi phí dịch vụ kế hoạch hóa gia đình đối với phụ nữ sinh đủ 02 con trên địa bàn tỉnh Lạng Sơn</w:t>
      </w:r>
      <w:r>
        <w:rPr>
          <w:color w:val="auto"/>
          <w:sz w:val="28"/>
          <w:szCs w:val="28"/>
          <w:highlight w:val="none"/>
        </w:rPr>
        <w:t xml:space="preserve"> theo quy định tại khoản 3 Điều 22 Luật Dân số số 113/2025/QH15</w:t>
      </w:r>
      <w:r>
        <w:rPr>
          <w:color w:val="auto"/>
          <w:sz w:val="28"/>
          <w:szCs w:val="28"/>
          <w:highlight w:val="none"/>
          <w:lang w:val="nl-NL"/>
        </w:rPr>
        <w:t>.</w:t>
      </w:r>
    </w:p>
    <w:p w14:paraId="15582826">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bCs/>
          <w:color w:val="auto"/>
          <w:sz w:val="28"/>
          <w:szCs w:val="28"/>
          <w:highlight w:val="none"/>
        </w:rPr>
      </w:pPr>
      <w:r>
        <w:rPr>
          <w:b/>
          <w:bCs/>
          <w:color w:val="auto"/>
          <w:sz w:val="28"/>
          <w:szCs w:val="28"/>
          <w:highlight w:val="none"/>
        </w:rPr>
        <w:t xml:space="preserve">1.2. Đối tượng áp dụng </w:t>
      </w:r>
    </w:p>
    <w:p w14:paraId="17E8A1D4">
      <w:pPr>
        <w:keepNext w:val="0"/>
        <w:keepLines w:val="0"/>
        <w:pageBreakBefore w:val="0"/>
        <w:widowControl w:val="0"/>
        <w:numPr>
          <w:ilvl w:val="0"/>
          <w:numId w:val="1"/>
        </w:numPr>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 xml:space="preserve">Phụ nữ trong độ tuổi sinh </w:t>
      </w:r>
      <w:r>
        <w:rPr>
          <w:color w:val="auto"/>
          <w:sz w:val="28"/>
          <w:szCs w:val="28"/>
          <w:highlight w:val="none"/>
        </w:rPr>
        <w:t>đẻ (từ đủ 18 tuổi đến hết 49 tuổi)</w:t>
      </w:r>
      <w:r>
        <w:rPr>
          <w:color w:val="auto"/>
          <w:sz w:val="28"/>
          <w:szCs w:val="28"/>
          <w:highlight w:val="none"/>
        </w:rPr>
        <w:t xml:space="preserve"> đã sinh đủ 02 con, </w:t>
      </w:r>
      <w:r>
        <w:rPr>
          <w:rStyle w:val="25"/>
          <w:b w:val="0"/>
          <w:color w:val="auto"/>
          <w:sz w:val="28"/>
          <w:szCs w:val="28"/>
          <w:highlight w:val="none"/>
        </w:rPr>
        <w:t>có nơi thường trú hoặc nơi tạm trú trên địa bàn tỉnh Lạng Sơn</w:t>
      </w:r>
      <w:r>
        <w:rPr>
          <w:color w:val="auto"/>
          <w:sz w:val="28"/>
          <w:szCs w:val="28"/>
          <w:highlight w:val="none"/>
        </w:rPr>
        <w:t>, có nhu cầu sử dụng các biện pháp tránh thai và dịch vụ kế hoạch hóa gia đình.</w:t>
      </w:r>
    </w:p>
    <w:p w14:paraId="31AF12D1">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b) Các cơ quan, tổ chức, cơ sở y tế công lập và cá nhân có liên quan đến việc quản lý, chi trả và thực hiện chính sách hỗ trợ theo quy định tại Nghị quyết này.</w:t>
      </w:r>
    </w:p>
    <w:p w14:paraId="5157C0AF">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color w:val="auto"/>
          <w:sz w:val="28"/>
          <w:szCs w:val="28"/>
          <w:highlight w:val="none"/>
        </w:rPr>
      </w:pPr>
      <w:r>
        <w:rPr>
          <w:b/>
          <w:color w:val="auto"/>
          <w:sz w:val="28"/>
          <w:szCs w:val="28"/>
          <w:highlight w:val="none"/>
        </w:rPr>
        <w:t>2. Bố cục của dự thảo văn bản</w:t>
      </w:r>
    </w:p>
    <w:p w14:paraId="28C03F01">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Cs/>
          <w:color w:val="auto"/>
          <w:sz w:val="28"/>
          <w:szCs w:val="28"/>
          <w:highlight w:val="none"/>
          <w:lang w:val="it-IT"/>
        </w:rPr>
      </w:pPr>
      <w:r>
        <w:rPr>
          <w:rStyle w:val="184"/>
          <w:color w:val="auto"/>
          <w:highlight w:val="none"/>
        </w:rPr>
        <w:t xml:space="preserve">Dự thảo Nghị quyết gồm 06 điều, </w:t>
      </w:r>
      <w:r>
        <w:rPr>
          <w:bCs/>
          <w:color w:val="auto"/>
          <w:sz w:val="28"/>
          <w:szCs w:val="28"/>
          <w:highlight w:val="none"/>
          <w:lang w:val="it-IT"/>
        </w:rPr>
        <w:t>cụ thể như sau:</w:t>
      </w:r>
    </w:p>
    <w:p w14:paraId="5ACA4213">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Cs/>
          <w:color w:val="auto"/>
          <w:sz w:val="28"/>
          <w:szCs w:val="28"/>
          <w:highlight w:val="none"/>
          <w:lang w:val="vi-VN"/>
        </w:rPr>
      </w:pPr>
      <w:r>
        <w:rPr>
          <w:bCs/>
          <w:color w:val="auto"/>
          <w:sz w:val="28"/>
          <w:szCs w:val="28"/>
          <w:highlight w:val="none"/>
        </w:rPr>
        <w:t>Điều 1. Phạm vi điều chỉnh và đối tượng áp dụng</w:t>
      </w:r>
      <w:r>
        <w:rPr>
          <w:bCs/>
          <w:color w:val="auto"/>
          <w:sz w:val="28"/>
          <w:szCs w:val="28"/>
          <w:highlight w:val="none"/>
          <w:lang w:val="vi-VN"/>
        </w:rPr>
        <w:t xml:space="preserve"> </w:t>
      </w:r>
    </w:p>
    <w:p w14:paraId="1765CA49">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Cs/>
          <w:i/>
          <w:color w:val="auto"/>
          <w:sz w:val="28"/>
          <w:szCs w:val="28"/>
          <w:highlight w:val="none"/>
        </w:rPr>
      </w:pPr>
      <w:r>
        <w:rPr>
          <w:bCs/>
          <w:color w:val="auto"/>
          <w:sz w:val="28"/>
          <w:szCs w:val="28"/>
          <w:highlight w:val="none"/>
        </w:rPr>
        <w:t>Điều 2: Nguyên tắc áp dụng.</w:t>
      </w:r>
    </w:p>
    <w:p w14:paraId="171ECFA2">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567"/>
        <w:jc w:val="both"/>
        <w:textAlignment w:val="auto"/>
        <w:rPr>
          <w:bCs/>
          <w:color w:val="auto"/>
          <w:sz w:val="28"/>
          <w:szCs w:val="28"/>
          <w:highlight w:val="none"/>
        </w:rPr>
      </w:pPr>
      <w:r>
        <w:rPr>
          <w:bCs/>
          <w:i/>
          <w:color w:val="auto"/>
          <w:sz w:val="28"/>
          <w:szCs w:val="28"/>
          <w:highlight w:val="none"/>
        </w:rPr>
        <w:t xml:space="preserve">  </w:t>
      </w:r>
      <w:r>
        <w:rPr>
          <w:bCs/>
          <w:color w:val="auto"/>
          <w:sz w:val="28"/>
          <w:szCs w:val="28"/>
          <w:highlight w:val="none"/>
        </w:rPr>
        <w:t xml:space="preserve">Điều 3. Nội dung và mức hỗ trợ Mức hỗ trợ </w:t>
      </w:r>
    </w:p>
    <w:p w14:paraId="769AEB72">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bCs/>
          <w:color w:val="auto"/>
          <w:sz w:val="28"/>
          <w:szCs w:val="28"/>
          <w:highlight w:val="none"/>
        </w:rPr>
      </w:pPr>
      <w:r>
        <w:rPr>
          <w:bCs/>
          <w:color w:val="auto"/>
          <w:sz w:val="28"/>
          <w:szCs w:val="28"/>
          <w:highlight w:val="none"/>
        </w:rPr>
        <w:t>Điều 4. Nguồn kinh phí</w:t>
      </w:r>
    </w:p>
    <w:p w14:paraId="53C30FEE">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bCs/>
          <w:color w:val="auto"/>
          <w:sz w:val="28"/>
          <w:szCs w:val="28"/>
          <w:highlight w:val="none"/>
        </w:rPr>
      </w:pPr>
      <w:r>
        <w:rPr>
          <w:bCs/>
          <w:color w:val="auto"/>
          <w:sz w:val="28"/>
          <w:szCs w:val="28"/>
          <w:highlight w:val="none"/>
        </w:rPr>
        <w:t xml:space="preserve"> Nguồn ngân sách nhà nước theo phân cấp quản lý hiện hành và</w:t>
      </w:r>
      <w:r>
        <w:rPr>
          <w:color w:val="auto"/>
          <w:sz w:val="28"/>
          <w:szCs w:val="28"/>
          <w:highlight w:val="none"/>
        </w:rPr>
        <w:t xml:space="preserve"> các nguồn kinh phí hợp pháp khác.</w:t>
      </w:r>
    </w:p>
    <w:p w14:paraId="416F428B">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567"/>
        <w:jc w:val="both"/>
        <w:textAlignment w:val="auto"/>
        <w:rPr>
          <w:bCs/>
          <w:color w:val="auto"/>
          <w:sz w:val="28"/>
          <w:szCs w:val="28"/>
          <w:highlight w:val="none"/>
        </w:rPr>
      </w:pPr>
      <w:r>
        <w:rPr>
          <w:bCs/>
          <w:color w:val="auto"/>
          <w:sz w:val="28"/>
          <w:szCs w:val="28"/>
          <w:highlight w:val="none"/>
        </w:rPr>
        <w:t xml:space="preserve">  Điều 5. Tổ chức thực hiện</w:t>
      </w:r>
    </w:p>
    <w:p w14:paraId="597D9E7F">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567"/>
        <w:jc w:val="both"/>
        <w:textAlignment w:val="auto"/>
        <w:rPr>
          <w:bCs/>
          <w:color w:val="auto"/>
          <w:sz w:val="28"/>
          <w:szCs w:val="28"/>
          <w:highlight w:val="none"/>
          <w:lang w:val="vi-VN"/>
        </w:rPr>
      </w:pPr>
      <w:r>
        <w:rPr>
          <w:bCs/>
          <w:color w:val="auto"/>
          <w:sz w:val="28"/>
          <w:szCs w:val="28"/>
          <w:highlight w:val="none"/>
          <w:lang w:val="vi-VN"/>
        </w:rPr>
        <w:t xml:space="preserve">  </w:t>
      </w:r>
      <w:r>
        <w:rPr>
          <w:bCs/>
          <w:color w:val="auto"/>
          <w:sz w:val="28"/>
          <w:szCs w:val="28"/>
          <w:highlight w:val="none"/>
        </w:rPr>
        <w:t>Điều</w:t>
      </w:r>
      <w:r>
        <w:rPr>
          <w:bCs/>
          <w:color w:val="auto"/>
          <w:sz w:val="28"/>
          <w:szCs w:val="28"/>
          <w:highlight w:val="none"/>
          <w:lang w:val="vi-VN"/>
        </w:rPr>
        <w:t xml:space="preserve"> </w:t>
      </w:r>
      <w:r>
        <w:rPr>
          <w:bCs/>
          <w:color w:val="auto"/>
          <w:sz w:val="28"/>
          <w:szCs w:val="28"/>
          <w:highlight w:val="none"/>
        </w:rPr>
        <w:t>6</w:t>
      </w:r>
      <w:r>
        <w:rPr>
          <w:bCs/>
          <w:color w:val="auto"/>
          <w:sz w:val="28"/>
          <w:szCs w:val="28"/>
          <w:highlight w:val="none"/>
          <w:lang w:val="vi-VN"/>
        </w:rPr>
        <w:t>. Điều khoản thi hành</w:t>
      </w:r>
    </w:p>
    <w:p w14:paraId="5D0FAD8D">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bCs/>
          <w:i/>
          <w:color w:val="auto"/>
          <w:sz w:val="28"/>
          <w:szCs w:val="28"/>
          <w:highlight w:val="none"/>
        </w:rPr>
      </w:pPr>
      <w:r>
        <w:rPr>
          <w:bCs/>
          <w:i/>
          <w:color w:val="auto"/>
          <w:sz w:val="28"/>
          <w:szCs w:val="28"/>
          <w:highlight w:val="none"/>
        </w:rPr>
        <w:t>(Có dự thảo Nghị quyết kèm theo)</w:t>
      </w:r>
    </w:p>
    <w:p w14:paraId="5252813A">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b/>
          <w:color w:val="auto"/>
          <w:sz w:val="28"/>
          <w:szCs w:val="28"/>
          <w:highlight w:val="none"/>
        </w:rPr>
      </w:pPr>
      <w:r>
        <w:rPr>
          <w:b/>
          <w:color w:val="auto"/>
          <w:sz w:val="28"/>
          <w:szCs w:val="28"/>
          <w:highlight w:val="none"/>
        </w:rPr>
        <w:t>3. Nội dung cơ bản</w:t>
      </w:r>
    </w:p>
    <w:p w14:paraId="0ABB2921">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Cs/>
          <w:color w:val="auto"/>
          <w:sz w:val="28"/>
          <w:szCs w:val="28"/>
          <w:highlight w:val="none"/>
          <w:lang w:val="it-IT"/>
        </w:rPr>
      </w:pPr>
      <w:r>
        <w:rPr>
          <w:bCs/>
          <w:color w:val="auto"/>
          <w:sz w:val="28"/>
          <w:szCs w:val="28"/>
          <w:highlight w:val="none"/>
          <w:lang w:val="it-IT"/>
        </w:rPr>
        <w:t xml:space="preserve">Dự thảo Nghị quyết </w:t>
      </w:r>
      <w:r>
        <w:rPr>
          <w:color w:val="auto"/>
          <w:sz w:val="28"/>
          <w:szCs w:val="28"/>
          <w:highlight w:val="none"/>
        </w:rPr>
        <w:t xml:space="preserve">quy định Quy định </w:t>
      </w:r>
      <w:r>
        <w:rPr>
          <w:bCs/>
          <w:color w:val="auto"/>
          <w:sz w:val="28"/>
          <w:szCs w:val="28"/>
          <w:highlight w:val="none"/>
        </w:rPr>
        <w:t>hỗ trợ phương tiện tránh thai và chi phí dịch vụ  kế hoạch hóa gia đình</w:t>
      </w:r>
      <w:r>
        <w:rPr>
          <w:b/>
          <w:bCs/>
          <w:color w:val="auto"/>
          <w:sz w:val="28"/>
          <w:szCs w:val="28"/>
          <w:highlight w:val="none"/>
        </w:rPr>
        <w:t xml:space="preserve"> </w:t>
      </w:r>
      <w:r>
        <w:rPr>
          <w:color w:val="auto"/>
          <w:sz w:val="28"/>
          <w:szCs w:val="28"/>
          <w:highlight w:val="none"/>
        </w:rPr>
        <w:t>đối với phụ nữ</w:t>
      </w:r>
      <w:r>
        <w:rPr>
          <w:b/>
          <w:color w:val="auto"/>
          <w:sz w:val="28"/>
          <w:szCs w:val="28"/>
          <w:highlight w:val="none"/>
        </w:rPr>
        <w:t xml:space="preserve"> </w:t>
      </w:r>
      <w:r>
        <w:rPr>
          <w:color w:val="auto"/>
          <w:sz w:val="28"/>
          <w:szCs w:val="28"/>
          <w:highlight w:val="none"/>
        </w:rPr>
        <w:t>sinh đủ 02 con</w:t>
      </w:r>
      <w:r>
        <w:rPr>
          <w:b/>
          <w:color w:val="auto"/>
          <w:sz w:val="28"/>
          <w:szCs w:val="28"/>
          <w:highlight w:val="none"/>
        </w:rPr>
        <w:t xml:space="preserve"> </w:t>
      </w:r>
      <w:r>
        <w:rPr>
          <w:color w:val="auto"/>
          <w:sz w:val="28"/>
          <w:szCs w:val="28"/>
          <w:highlight w:val="none"/>
        </w:rPr>
        <w:t>trên địa bàn tỉnh Lạng Sơn</w:t>
      </w:r>
      <w:r>
        <w:rPr>
          <w:bCs/>
          <w:color w:val="auto"/>
          <w:sz w:val="28"/>
          <w:szCs w:val="28"/>
          <w:highlight w:val="none"/>
        </w:rPr>
        <w:t>,</w:t>
      </w:r>
      <w:r>
        <w:rPr>
          <w:bCs/>
          <w:color w:val="auto"/>
          <w:sz w:val="28"/>
          <w:szCs w:val="28"/>
          <w:highlight w:val="none"/>
          <w:lang w:val="it-IT"/>
        </w:rPr>
        <w:t xml:space="preserve"> gồm 06 điều, cụ thể như sau: </w:t>
      </w:r>
    </w:p>
    <w:p w14:paraId="390E7AFB">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Cs/>
          <w:i/>
          <w:color w:val="auto"/>
          <w:sz w:val="28"/>
          <w:szCs w:val="28"/>
          <w:highlight w:val="none"/>
        </w:rPr>
      </w:pPr>
      <w:r>
        <w:rPr>
          <w:b/>
          <w:bCs/>
          <w:color w:val="auto"/>
          <w:sz w:val="28"/>
          <w:szCs w:val="28"/>
          <w:highlight w:val="none"/>
        </w:rPr>
        <w:t>Điều 1. Phạm vi điều chỉnh và đối tượng áp dụng</w:t>
      </w:r>
      <w:r>
        <w:rPr>
          <w:b/>
          <w:bCs/>
          <w:color w:val="auto"/>
          <w:sz w:val="28"/>
          <w:szCs w:val="28"/>
          <w:highlight w:val="none"/>
          <w:lang w:val="vi-VN"/>
        </w:rPr>
        <w:t xml:space="preserve"> </w:t>
      </w:r>
      <w:r>
        <w:rPr>
          <w:bCs/>
          <w:i/>
          <w:color w:val="auto"/>
          <w:sz w:val="28"/>
          <w:szCs w:val="28"/>
          <w:highlight w:val="none"/>
        </w:rPr>
        <w:t xml:space="preserve">(đã nêu tại Mục IV) </w:t>
      </w:r>
    </w:p>
    <w:p w14:paraId="52D48913">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bCs/>
          <w:color w:val="auto"/>
          <w:sz w:val="28"/>
          <w:szCs w:val="28"/>
          <w:highlight w:val="none"/>
        </w:rPr>
      </w:pPr>
      <w:r>
        <w:rPr>
          <w:b/>
          <w:bCs/>
          <w:color w:val="auto"/>
          <w:sz w:val="28"/>
          <w:szCs w:val="28"/>
          <w:highlight w:val="none"/>
        </w:rPr>
        <w:t xml:space="preserve">Điều 2. </w:t>
      </w:r>
      <w:r>
        <w:rPr>
          <w:b/>
          <w:bCs/>
          <w:color w:val="auto"/>
          <w:sz w:val="28"/>
          <w:szCs w:val="28"/>
          <w:highlight w:val="none"/>
        </w:rPr>
        <w:t>Nguyên tắc</w:t>
      </w:r>
      <w:r>
        <w:rPr>
          <w:b/>
          <w:bCs/>
          <w:color w:val="auto"/>
          <w:szCs w:val="28"/>
          <w:highlight w:val="none"/>
        </w:rPr>
        <w:t xml:space="preserve"> </w:t>
      </w:r>
      <w:r>
        <w:rPr>
          <w:b/>
          <w:bCs/>
          <w:color w:val="auto"/>
          <w:sz w:val="28"/>
          <w:szCs w:val="28"/>
          <w:highlight w:val="none"/>
        </w:rPr>
        <w:t>áp dụng</w:t>
      </w:r>
    </w:p>
    <w:p w14:paraId="1E3D789B">
      <w:pPr>
        <w:keepNext w:val="0"/>
        <w:keepLines w:val="0"/>
        <w:pageBreakBefore w:val="0"/>
        <w:widowControl w:val="0"/>
        <w:numPr>
          <w:ilvl w:val="0"/>
          <w:numId w:val="2"/>
        </w:numPr>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Việc hỗ trợ phải bảo đảm công khai, minh bạch, đúng đối tượng và định mức quy định.</w:t>
      </w:r>
    </w:p>
    <w:p w14:paraId="6169B85E">
      <w:pPr>
        <w:keepNext w:val="0"/>
        <w:keepLines w:val="0"/>
        <w:pageBreakBefore w:val="0"/>
        <w:widowControl w:val="0"/>
        <w:numPr>
          <w:ilvl w:val="0"/>
          <w:numId w:val="2"/>
        </w:numPr>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Quy trình hỗ trợ được thực hiện lồng ghép trực tiếp khi đối tượng sử dụng dịch vụ tại các cơ sở y tế công lập trên địa bàn tỉnh.</w:t>
      </w:r>
    </w:p>
    <w:p w14:paraId="4171BC25">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3. Trường hợp đối tượng thụ hưởng thuộc diện được hỗ trợ cùng một nội dung từ nhiều chính sách, chương trình, dự án khác nhau thì chỉ được hưởng một mức hỗ trợ cao nhất.</w:t>
      </w:r>
    </w:p>
    <w:p w14:paraId="6CDCA8D0">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rStyle w:val="25"/>
          <w:color w:val="auto"/>
          <w:sz w:val="28"/>
          <w:szCs w:val="28"/>
          <w:highlight w:val="none"/>
          <w:shd w:val="clear" w:color="auto" w:fill="FFFFFF"/>
        </w:rPr>
      </w:pPr>
      <w:r>
        <w:rPr>
          <w:b/>
          <w:bCs/>
          <w:color w:val="auto"/>
          <w:sz w:val="28"/>
          <w:szCs w:val="28"/>
          <w:highlight w:val="none"/>
        </w:rPr>
        <w:t xml:space="preserve">Điều 3. </w:t>
      </w:r>
      <w:r>
        <w:rPr>
          <w:rStyle w:val="25"/>
          <w:color w:val="auto"/>
          <w:sz w:val="28"/>
          <w:szCs w:val="28"/>
          <w:highlight w:val="none"/>
          <w:shd w:val="clear" w:color="auto" w:fill="FFFFFF"/>
        </w:rPr>
        <w:t xml:space="preserve">Nội dung và mức hỗ trợ  </w:t>
      </w:r>
    </w:p>
    <w:p w14:paraId="2907C626">
      <w:pPr>
        <w:keepNext w:val="0"/>
        <w:keepLines w:val="0"/>
        <w:pageBreakBefore w:val="0"/>
        <w:widowControl w:val="0"/>
        <w:numPr>
          <w:ilvl w:val="0"/>
          <w:numId w:val="3"/>
        </w:numPr>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Hỗ trợ phương tiện tránh thai: Đối tượng quy định tại điểm a khoản 2 Điều 1 Nghị quyết này được cấp phát miễn phí các loại phương tiện tránh thai lâm sàng và phi lâm sàng (trừ bao cao su), bao gồm thuốc uống, thuốc tiêm, thuốc cấy tránh thai và dụng cụ tử cung do ngân sách tỉnh chi trả thông qua cơ chế đấu thầu của ngành Y tế.</w:t>
      </w:r>
    </w:p>
    <w:p w14:paraId="1844F7F7">
      <w:pPr>
        <w:keepNext w:val="0"/>
        <w:keepLines w:val="0"/>
        <w:pageBreakBefore w:val="0"/>
        <w:widowControl w:val="0"/>
        <w:numPr>
          <w:ilvl w:val="0"/>
          <w:numId w:val="3"/>
        </w:numPr>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rStyle w:val="195"/>
          <w:color w:val="auto"/>
          <w:sz w:val="28"/>
          <w:szCs w:val="28"/>
          <w:highlight w:val="none"/>
        </w:rPr>
      </w:pPr>
      <w:r>
        <w:rPr>
          <w:rStyle w:val="195"/>
          <w:color w:val="auto"/>
          <w:sz w:val="28"/>
          <w:szCs w:val="28"/>
          <w:highlight w:val="none"/>
        </w:rPr>
        <w:t>Hỗ trợ chi phí dịch vụ kế hoạch hóa gia đình: hỗ trợ 100% chi phí thực hiện các dịch vụ kỹ thuật lâm sàng kế hoạch hóa gia đình tại các cơ sở y tế công lập theo mức giá dịch vụ khám bệnh, chữa bệnh hiện hành do cơ quan có thẩm quyền quy định, bao gồm: Thủ thuật đặt và tháo dụng cụ tử cung; thủ thuật cấy và tháo thuốc cấy tránh thai; tiêm thuốc tránh thai.</w:t>
      </w:r>
    </w:p>
    <w:p w14:paraId="03253DE4">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jc w:val="both"/>
        <w:textAlignment w:val="auto"/>
        <w:rPr>
          <w:b/>
          <w:bCs/>
          <w:color w:val="auto"/>
          <w:sz w:val="28"/>
          <w:szCs w:val="28"/>
          <w:highlight w:val="none"/>
        </w:rPr>
      </w:pPr>
      <w:r>
        <w:rPr>
          <w:b/>
          <w:bCs/>
          <w:color w:val="auto"/>
          <w:sz w:val="28"/>
          <w:szCs w:val="28"/>
          <w:highlight w:val="none"/>
        </w:rPr>
        <w:tab/>
      </w:r>
      <w:r>
        <w:rPr>
          <w:b/>
          <w:bCs/>
          <w:color w:val="auto"/>
          <w:sz w:val="28"/>
          <w:szCs w:val="28"/>
          <w:highlight w:val="none"/>
        </w:rPr>
        <w:t xml:space="preserve">Điều 4. Nguồn kinh phí  </w:t>
      </w:r>
    </w:p>
    <w:p w14:paraId="4A798FE2">
      <w:pPr>
        <w:keepNext w:val="0"/>
        <w:keepLines w:val="0"/>
        <w:pageBreakBefore w:val="0"/>
        <w:widowControl w:val="0"/>
        <w:numPr>
          <w:ilvl w:val="0"/>
          <w:numId w:val="4"/>
        </w:numPr>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Do ngân sách nhà nước bảo đảm theo phân cấp quản lý ngân sách hiện hành.</w:t>
      </w:r>
    </w:p>
    <w:p w14:paraId="6DC2B81C">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2. Huy động từ nguồn tài trợ, viện trợ của các tổ chức, cá nhân trong và ngoài nước; các nguồn hợp pháp khác theo quy định của pháp luật.</w:t>
      </w:r>
    </w:p>
    <w:p w14:paraId="18A1BB75">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567"/>
        <w:jc w:val="both"/>
        <w:textAlignment w:val="auto"/>
        <w:rPr>
          <w:b/>
          <w:bCs/>
          <w:color w:val="auto"/>
          <w:sz w:val="28"/>
          <w:szCs w:val="28"/>
          <w:highlight w:val="none"/>
        </w:rPr>
      </w:pPr>
      <w:r>
        <w:rPr>
          <w:b/>
          <w:bCs/>
          <w:color w:val="auto"/>
          <w:sz w:val="28"/>
          <w:szCs w:val="28"/>
          <w:highlight w:val="none"/>
        </w:rPr>
        <w:t xml:space="preserve">  Điều 5. Tổ chức thực hiện </w:t>
      </w:r>
    </w:p>
    <w:p w14:paraId="3D4D09F5">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rStyle w:val="195"/>
          <w:color w:val="auto"/>
          <w:sz w:val="28"/>
          <w:szCs w:val="28"/>
          <w:highlight w:val="none"/>
        </w:rPr>
      </w:pPr>
      <w:r>
        <w:rPr>
          <w:color w:val="auto"/>
          <w:sz w:val="28"/>
          <w:szCs w:val="28"/>
          <w:highlight w:val="none"/>
          <w:lang w:val="vi"/>
        </w:rPr>
        <w:t xml:space="preserve">1. Giao Ủy ban nhân dân tỉnh tổ chức triển khai thực hiện Nghị quyết; báo cáo Hội đồng nhân dân tỉnh kết quả thực hiện theo </w:t>
      </w:r>
      <w:r>
        <w:rPr>
          <w:color w:val="auto"/>
          <w:sz w:val="28"/>
          <w:szCs w:val="28"/>
          <w:highlight w:val="none"/>
        </w:rPr>
        <w:t>quy định</w:t>
      </w:r>
      <w:r>
        <w:rPr>
          <w:rStyle w:val="195"/>
          <w:color w:val="auto"/>
          <w:sz w:val="28"/>
          <w:szCs w:val="28"/>
          <w:highlight w:val="none"/>
        </w:rPr>
        <w:t xml:space="preserve">. </w:t>
      </w:r>
    </w:p>
    <w:p w14:paraId="4B34F754">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bCs/>
          <w:color w:val="auto"/>
          <w:sz w:val="28"/>
          <w:szCs w:val="28"/>
          <w:highlight w:val="none"/>
        </w:rPr>
      </w:pPr>
      <w:r>
        <w:rPr>
          <w:color w:val="auto"/>
          <w:sz w:val="28"/>
          <w:szCs w:val="28"/>
          <w:highlight w:val="none"/>
          <w:lang w:val="vi"/>
        </w:rPr>
        <w:t xml:space="preserve">2. </w:t>
      </w:r>
      <w:r>
        <w:rPr>
          <w:iCs/>
          <w:color w:val="auto"/>
          <w:sz w:val="28"/>
          <w:szCs w:val="28"/>
          <w:highlight w:val="none"/>
          <w:lang w:val="vi"/>
        </w:rPr>
        <w:t xml:space="preserve">Giao Thường trực Hội đồng nhân dân tỉnh, </w:t>
      </w:r>
      <w:r>
        <w:rPr>
          <w:bCs/>
          <w:iCs/>
          <w:color w:val="auto"/>
          <w:sz w:val="28"/>
          <w:szCs w:val="28"/>
          <w:highlight w:val="none"/>
          <w:lang w:val="vi"/>
        </w:rPr>
        <w:t xml:space="preserve">Ban Văn hóa </w:t>
      </w:r>
      <w:r>
        <w:rPr>
          <w:bCs/>
          <w:iCs/>
          <w:color w:val="auto"/>
          <w:sz w:val="28"/>
          <w:szCs w:val="28"/>
          <w:highlight w:val="none"/>
          <w:lang w:val="vi-VN"/>
        </w:rPr>
        <w:t xml:space="preserve">- </w:t>
      </w:r>
      <w:r>
        <w:rPr>
          <w:bCs/>
          <w:iCs/>
          <w:color w:val="auto"/>
          <w:sz w:val="28"/>
          <w:szCs w:val="28"/>
          <w:highlight w:val="none"/>
          <w:lang w:val="vi"/>
        </w:rPr>
        <w:t>Xã hội Hội đồng nhân dân tỉnh</w:t>
      </w:r>
      <w:r>
        <w:rPr>
          <w:iCs/>
          <w:color w:val="auto"/>
          <w:sz w:val="28"/>
          <w:szCs w:val="28"/>
          <w:highlight w:val="none"/>
          <w:lang w:val="vi"/>
        </w:rPr>
        <w:t>, Tổ đại biểu Hội đồng nhân dân tỉnh và đại biểu Hội đồng nhân dân tỉnh giám sát việc thực hiện Nghị quyết.</w:t>
      </w:r>
      <w:r>
        <w:rPr>
          <w:iCs/>
          <w:color w:val="auto"/>
          <w:sz w:val="28"/>
          <w:szCs w:val="28"/>
          <w:highlight w:val="none"/>
        </w:rPr>
        <w:t xml:space="preserve"> </w:t>
      </w:r>
    </w:p>
    <w:p w14:paraId="058D455B">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567"/>
        <w:jc w:val="both"/>
        <w:textAlignment w:val="auto"/>
        <w:rPr>
          <w:b/>
          <w:bCs/>
          <w:color w:val="auto"/>
          <w:sz w:val="28"/>
          <w:szCs w:val="28"/>
          <w:highlight w:val="none"/>
        </w:rPr>
      </w:pPr>
      <w:r>
        <w:rPr>
          <w:b/>
          <w:bCs/>
          <w:color w:val="auto"/>
          <w:sz w:val="28"/>
          <w:szCs w:val="28"/>
          <w:highlight w:val="none"/>
          <w:lang w:val="vi-VN"/>
        </w:rPr>
        <w:t xml:space="preserve">   </w:t>
      </w:r>
      <w:r>
        <w:rPr>
          <w:b/>
          <w:bCs/>
          <w:color w:val="auto"/>
          <w:sz w:val="28"/>
          <w:szCs w:val="28"/>
          <w:highlight w:val="none"/>
        </w:rPr>
        <w:t>Điều</w:t>
      </w:r>
      <w:r>
        <w:rPr>
          <w:bCs/>
          <w:color w:val="auto"/>
          <w:sz w:val="28"/>
          <w:szCs w:val="28"/>
          <w:highlight w:val="none"/>
          <w:lang w:val="vi-VN"/>
        </w:rPr>
        <w:t xml:space="preserve"> </w:t>
      </w:r>
      <w:r>
        <w:rPr>
          <w:b/>
          <w:bCs/>
          <w:color w:val="auto"/>
          <w:sz w:val="28"/>
          <w:szCs w:val="28"/>
          <w:highlight w:val="none"/>
          <w:lang w:val="vi-VN"/>
        </w:rPr>
        <w:t>6. Điều khoản thi hành</w:t>
      </w:r>
      <w:r>
        <w:rPr>
          <w:b/>
          <w:bCs/>
          <w:color w:val="auto"/>
          <w:sz w:val="28"/>
          <w:szCs w:val="28"/>
          <w:highlight w:val="none"/>
        </w:rPr>
        <w:t xml:space="preserve"> </w:t>
      </w:r>
    </w:p>
    <w:p w14:paraId="48E4B02F">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Cs/>
          <w:i/>
          <w:color w:val="auto"/>
          <w:sz w:val="28"/>
          <w:szCs w:val="28"/>
          <w:highlight w:val="none"/>
        </w:rPr>
      </w:pPr>
      <w:r>
        <w:rPr>
          <w:bCs/>
          <w:i/>
          <w:color w:val="auto"/>
          <w:sz w:val="28"/>
          <w:szCs w:val="28"/>
          <w:highlight w:val="none"/>
        </w:rPr>
        <w:t>(Có dự thảo Nghị quyết kèm theo).</w:t>
      </w:r>
    </w:p>
    <w:p w14:paraId="69E89C4E">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09"/>
        <w:jc w:val="both"/>
        <w:textAlignment w:val="auto"/>
        <w:rPr>
          <w:b/>
          <w:bCs/>
          <w:color w:val="auto"/>
          <w:sz w:val="28"/>
          <w:szCs w:val="28"/>
          <w:highlight w:val="none"/>
          <w:lang w:val="nl-NL"/>
        </w:rPr>
      </w:pPr>
      <w:r>
        <w:rPr>
          <w:b/>
          <w:bCs/>
          <w:color w:val="auto"/>
          <w:sz w:val="28"/>
          <w:szCs w:val="28"/>
          <w:highlight w:val="none"/>
          <w:lang w:val="vi-VN"/>
        </w:rPr>
        <w:t>V. DỰ KIẾN NGUỒN LỰC</w:t>
      </w:r>
      <w:r>
        <w:rPr>
          <w:b/>
          <w:bCs/>
          <w:color w:val="auto"/>
          <w:sz w:val="28"/>
          <w:szCs w:val="28"/>
          <w:highlight w:val="none"/>
          <w:lang w:val="nl-NL"/>
        </w:rPr>
        <w:t>, ĐIỀU KIỆN ĐẢM BẢO CHO VIỆC THI HÀNH NGHỊ QUYẾT SAU KHI ĐƯỢC THÔNG QUA</w:t>
      </w:r>
    </w:p>
    <w:p w14:paraId="09066EA3">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bCs/>
          <w:color w:val="auto"/>
          <w:sz w:val="28"/>
          <w:szCs w:val="28"/>
          <w:highlight w:val="none"/>
        </w:rPr>
      </w:pPr>
      <w:r>
        <w:rPr>
          <w:b/>
          <w:bCs/>
          <w:color w:val="auto"/>
          <w:sz w:val="28"/>
          <w:szCs w:val="28"/>
          <w:highlight w:val="none"/>
        </w:rPr>
        <w:t xml:space="preserve">1. Dự kiến nguồn lực tài chính và cơ sở xác định kinh phí </w:t>
      </w:r>
    </w:p>
    <w:p w14:paraId="100F40A8">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Tổng kinh phí dự kiến để thực hiện chính sách hỗ trợ kinh phí mua phương tiện tránh thai và chi phí thực hiện dịch vụ kỹ thuật kế hoạch hóa gia đình trên địa bàn tỉnh 3,38 tỷ đồng/năm do ngân sách nhà nước bảo đảm theo phân cấp quản lý ngân sách hiện hành.</w:t>
      </w:r>
    </w:p>
    <w:p w14:paraId="06EC27DD">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 xml:space="preserve">Cơ sở thực tế và phương pháp xác định tổng nhu cầu kinh phí trên được tổng hợp, xây dựng từ nhu cầu đăng ký sử dụng biện pháp tránh thai thực tế của người dân tại các xã, phường và áp dụng hệ thống định mức chi trả theo quy định hiện hành. Hằng năm, căn cứ trên số liệu rà soát đối tượng phụ nữ trong độ tuổi sinh đẻ đã sinh đủ 02 con cư trú tại địa bàn, các cơ sở y tế tuyến cơ sở sẽ tổng hợp danh sách những người có nhu cầu thực tế để làm căn cứ lập dự toán. </w:t>
      </w:r>
    </w:p>
    <w:p w14:paraId="0147610A">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Từ nhu cầu thực tế này, tổng kinh phí 3,38 tỷ đồng/năm được cấu thành từ hai nhóm danh mục cụ thể:</w:t>
      </w:r>
    </w:p>
    <w:p w14:paraId="3438B106">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Một là kinh phí mua phương tiện tránh thai lâm sàng và phi lầm sàng (trừ bao cao su), được xác định dựa trên số lượng đăng ký nhân với đơn giá trúng thầu mua sắm theo quy định.</w:t>
      </w:r>
    </w:p>
    <w:p w14:paraId="26EEEC72">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 xml:space="preserve">Hai là chi phí thực hiện các thủ thuật, dịch vụ kỹ thuật kế hoạch hóa gia đình tại cơ sở y tế công lập, được xác định dựa trên số ca thực hiện thực tế nhân với đơn giá dịch vụ khám bệnh, chữa bệnh không thuộc phạm vi thanh toán của Quỹ bảo hiểm y tế do Hội đồng nhân dân tỉnh ban hành. </w:t>
      </w:r>
    </w:p>
    <w:p w14:paraId="3DECE532">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Quy trình tính toán và lập dự toán này bảo đảm bám sát thực tiễn thụ hưởng của từng địa phương, giúp công tác phân bổ ngân sách đạt tính khả thi cao và thuận lợi cho việc kiểm soát, quyết toán kinh phí sau khi triển khai.</w:t>
      </w:r>
    </w:p>
    <w:p w14:paraId="4C0033E0">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color w:val="auto"/>
          <w:sz w:val="28"/>
          <w:szCs w:val="28"/>
          <w:highlight w:val="none"/>
        </w:rPr>
      </w:pPr>
      <w:r>
        <w:rPr>
          <w:b/>
          <w:color w:val="auto"/>
          <w:sz w:val="28"/>
          <w:szCs w:val="28"/>
          <w:highlight w:val="none"/>
        </w:rPr>
        <w:t>2. Thời gian trình thông qua dự thảo Nghị quyết</w:t>
      </w:r>
    </w:p>
    <w:p w14:paraId="00C48BBE">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 xml:space="preserve">Trình Hội đồng nhân dân tỉnh xem xét, thông qua dự thảo Nghị quyết tại kỳ họp </w:t>
      </w:r>
      <w:r>
        <w:rPr>
          <w:color w:val="auto"/>
          <w:sz w:val="28"/>
          <w:szCs w:val="28"/>
          <w:highlight w:val="none"/>
        </w:rPr>
        <w:t>chuyên đề của Hội đồng nhân dân tỉnh năm 2026.</w:t>
      </w:r>
    </w:p>
    <w:p w14:paraId="2E1B6548">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color w:val="auto"/>
          <w:sz w:val="28"/>
          <w:szCs w:val="28"/>
          <w:highlight w:val="none"/>
        </w:rPr>
      </w:pPr>
      <w:r>
        <w:rPr>
          <w:b/>
          <w:color w:val="auto"/>
          <w:sz w:val="28"/>
          <w:szCs w:val="28"/>
          <w:highlight w:val="none"/>
        </w:rPr>
        <w:t>VI. NỘI DUNG XIN Ý KIẾN</w:t>
      </w:r>
    </w:p>
    <w:p w14:paraId="78D067E5">
      <w:pPr>
        <w:keepNext w:val="0"/>
        <w:keepLines w:val="0"/>
        <w:pageBreakBefore w:val="0"/>
        <w:widowControl w:val="0"/>
        <w:numPr>
          <w:ilvl w:val="0"/>
          <w:numId w:val="0"/>
        </w:numPr>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firstLineChars="0"/>
        <w:jc w:val="both"/>
        <w:textAlignment w:val="auto"/>
        <w:rPr>
          <w:rFonts w:hint="default"/>
          <w:b/>
          <w:bCs/>
          <w:color w:val="auto"/>
          <w:sz w:val="28"/>
          <w:szCs w:val="28"/>
          <w:highlight w:val="none"/>
          <w:lang w:val="vi-VN"/>
        </w:rPr>
      </w:pPr>
      <w:r>
        <w:rPr>
          <w:rFonts w:hint="default"/>
          <w:b/>
          <w:bCs/>
          <w:color w:val="auto"/>
          <w:sz w:val="28"/>
          <w:szCs w:val="28"/>
          <w:highlight w:val="none"/>
          <w:lang w:val="vi-VN"/>
        </w:rPr>
        <w:t xml:space="preserve">1. Tên Nghị quyết </w:t>
      </w:r>
    </w:p>
    <w:p w14:paraId="0B5CEA6F">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rFonts w:hint="default"/>
          <w:i/>
          <w:iCs/>
          <w:color w:val="auto"/>
          <w:sz w:val="28"/>
          <w:szCs w:val="28"/>
          <w:highlight w:val="none"/>
          <w:lang w:val="en-US"/>
        </w:rPr>
      </w:pPr>
      <w:r>
        <w:rPr>
          <w:color w:val="auto"/>
          <w:sz w:val="28"/>
          <w:szCs w:val="28"/>
          <w:highlight w:val="none"/>
        </w:rPr>
        <w:t>Căn cứ Quyết định số 221/QĐ-HĐND ngày 12/02/2026 của Thường trực HĐND tỉnh Ban hành danh mục Nghị quyết của Hội đồng nhân dân tỉnh Lạng Sơn quy định chi tiết các luật, nghị quyết được Quốc hội khóa XV thông qua tại kỳ họp thứ 10</w:t>
      </w:r>
      <w:r>
        <w:rPr>
          <w:rFonts w:hint="default"/>
          <w:color w:val="auto"/>
          <w:sz w:val="28"/>
          <w:szCs w:val="28"/>
          <w:highlight w:val="none"/>
          <w:lang w:val="vi-VN"/>
        </w:rPr>
        <w:t>;</w:t>
      </w:r>
      <w:r>
        <w:rPr>
          <w:color w:val="auto"/>
          <w:sz w:val="28"/>
          <w:szCs w:val="28"/>
          <w:highlight w:val="none"/>
        </w:rPr>
        <w:t xml:space="preserve"> </w:t>
      </w:r>
      <w:r>
        <w:rPr>
          <w:rFonts w:hint="default"/>
          <w:color w:val="auto"/>
          <w:sz w:val="28"/>
          <w:szCs w:val="28"/>
          <w:highlight w:val="none"/>
          <w:lang w:val="en-US"/>
        </w:rPr>
        <w:t>V</w:t>
      </w:r>
      <w:r>
        <w:rPr>
          <w:color w:val="auto"/>
          <w:sz w:val="28"/>
          <w:szCs w:val="28"/>
          <w:highlight w:val="none"/>
        </w:rPr>
        <w:t>ăn bản số 587/HĐND-VHXH ngày 11/04/2026 của Hội đồng nhân dân tỉnh về việc đề nghị tham mưu ban hành Nghị quyết của HĐND tỉnh quy định chi tiết Luật Dân số</w:t>
      </w:r>
      <w:r>
        <w:rPr>
          <w:rFonts w:hint="default"/>
          <w:color w:val="auto"/>
          <w:sz w:val="28"/>
          <w:szCs w:val="28"/>
          <w:highlight w:val="none"/>
          <w:lang w:val="en-US"/>
        </w:rPr>
        <w:t xml:space="preserve">; </w:t>
      </w:r>
      <w:r>
        <w:rPr>
          <w:color w:val="auto"/>
          <w:sz w:val="28"/>
          <w:szCs w:val="28"/>
          <w:highlight w:val="none"/>
        </w:rPr>
        <w:t xml:space="preserve">tên </w:t>
      </w:r>
      <w:r>
        <w:rPr>
          <w:rFonts w:hint="default"/>
          <w:color w:val="auto"/>
          <w:sz w:val="28"/>
          <w:szCs w:val="28"/>
          <w:highlight w:val="none"/>
          <w:lang w:val="en-US"/>
        </w:rPr>
        <w:t>Nghị quyết được giao là:</w:t>
      </w:r>
      <w:r>
        <w:rPr>
          <w:rFonts w:hint="default"/>
          <w:i/>
          <w:iCs/>
          <w:color w:val="auto"/>
          <w:sz w:val="28"/>
          <w:szCs w:val="28"/>
          <w:highlight w:val="none"/>
          <w:lang w:val="en-US"/>
        </w:rPr>
        <w:t>“N</w:t>
      </w:r>
      <w:r>
        <w:rPr>
          <w:rFonts w:hint="default"/>
          <w:i/>
          <w:iCs/>
          <w:color w:val="auto"/>
          <w:sz w:val="28"/>
          <w:szCs w:val="28"/>
          <w:highlight w:val="none"/>
        </w:rPr>
        <w:t>ghị quyết của</w:t>
      </w:r>
      <w:r>
        <w:rPr>
          <w:rFonts w:hint="default"/>
          <w:i/>
          <w:iCs/>
          <w:color w:val="auto"/>
          <w:sz w:val="28"/>
          <w:szCs w:val="28"/>
          <w:highlight w:val="none"/>
          <w:lang w:val="en-US"/>
        </w:rPr>
        <w:t xml:space="preserve"> </w:t>
      </w:r>
      <w:r>
        <w:rPr>
          <w:rFonts w:hint="default"/>
          <w:i/>
          <w:iCs/>
          <w:color w:val="auto"/>
          <w:sz w:val="28"/>
          <w:szCs w:val="28"/>
          <w:highlight w:val="none"/>
        </w:rPr>
        <w:t>HĐND tỉnh quy định hỗ trợ phương tiện tránh thai, chi phí dịch vụ kế hoạch hóa</w:t>
      </w:r>
      <w:r>
        <w:rPr>
          <w:rFonts w:hint="default"/>
          <w:i/>
          <w:iCs/>
          <w:color w:val="auto"/>
          <w:sz w:val="28"/>
          <w:szCs w:val="28"/>
          <w:highlight w:val="none"/>
          <w:lang w:val="en-US"/>
        </w:rPr>
        <w:t xml:space="preserve"> </w:t>
      </w:r>
      <w:r>
        <w:rPr>
          <w:rFonts w:hint="default"/>
          <w:i/>
          <w:iCs/>
          <w:color w:val="auto"/>
          <w:sz w:val="28"/>
          <w:szCs w:val="28"/>
          <w:highlight w:val="none"/>
        </w:rPr>
        <w:t>gia đình cho các đối tượng thuộc hộ nghèo, hộ cận nghèo, đối tượng bảo trợ xã hội;</w:t>
      </w:r>
      <w:r>
        <w:rPr>
          <w:rFonts w:hint="default"/>
          <w:i/>
          <w:iCs/>
          <w:color w:val="auto"/>
          <w:sz w:val="28"/>
          <w:szCs w:val="28"/>
          <w:highlight w:val="none"/>
          <w:lang w:val="en-US"/>
        </w:rPr>
        <w:t xml:space="preserve"> </w:t>
      </w:r>
      <w:r>
        <w:rPr>
          <w:rFonts w:hint="default"/>
          <w:i/>
          <w:iCs/>
          <w:color w:val="auto"/>
          <w:sz w:val="28"/>
          <w:szCs w:val="28"/>
          <w:highlight w:val="none"/>
        </w:rPr>
        <w:t>đối tượng thuộc vùng đồng bào dân tộc thiểu số và miền núi; xã thuộc khu vực</w:t>
      </w:r>
      <w:r>
        <w:rPr>
          <w:rFonts w:hint="default"/>
          <w:i/>
          <w:iCs/>
          <w:color w:val="auto"/>
          <w:sz w:val="28"/>
          <w:szCs w:val="28"/>
          <w:highlight w:val="none"/>
          <w:lang w:val="en-US"/>
        </w:rPr>
        <w:t xml:space="preserve"> </w:t>
      </w:r>
      <w:r>
        <w:rPr>
          <w:rFonts w:hint="default"/>
          <w:i/>
          <w:iCs/>
          <w:color w:val="auto"/>
          <w:sz w:val="28"/>
          <w:szCs w:val="28"/>
          <w:highlight w:val="none"/>
        </w:rPr>
        <w:t>biên giới đất liền trên địa bàn tỉnh Lạng Sơn</w:t>
      </w:r>
      <w:r>
        <w:rPr>
          <w:rFonts w:hint="default"/>
          <w:i/>
          <w:iCs/>
          <w:color w:val="auto"/>
          <w:sz w:val="28"/>
          <w:szCs w:val="28"/>
          <w:highlight w:val="none"/>
          <w:lang w:val="en-US"/>
        </w:rPr>
        <w:t>”.</w:t>
      </w:r>
    </w:p>
    <w:p w14:paraId="185BBCBD">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 xml:space="preserve">Theo quy định tại khoản 3 Điều 22 Luật Dân số, đối tượng được hỗ trợ bao gồm: hộ nghèo, hộ cận nghèo, đối tượng bảo trợ xã hội; người thuộc vùng đồng bào dân tộc thiểu số và miền núi; xã thuộc khu vực biên giới đất liền. Tuy nhiên, theo Quyết định số 104/QĐ-BDTTG của Bộ Dân tộc và Tôn giáo, tỉnh Lạng Sơn có 100% xã, phường thuộc vùng đồng bào dân tộc thiểu số và miền núi. Nếu áp dụng theo đúng các nhóm đối tượng này, phạm vi thụ hưởng sẽ quá rộng, vượt quá khả năng cân đối ngân sách địa phương. </w:t>
      </w:r>
    </w:p>
    <w:p w14:paraId="70D1AE7D">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rFonts w:hint="default" w:ascii="Times New Roman" w:hAnsi="Times New Roman" w:cs="Times New Roman"/>
          <w:color w:val="auto"/>
          <w:sz w:val="28"/>
          <w:szCs w:val="28"/>
          <w:highlight w:val="none"/>
        </w:rPr>
      </w:pPr>
      <w:r>
        <w:rPr>
          <w:rFonts w:hint="default" w:ascii="Times New Roman" w:hAnsi="Times New Roman" w:cs="Times New Roman"/>
          <w:color w:val="auto"/>
          <w:sz w:val="28"/>
          <w:szCs w:val="28"/>
          <w:highlight w:val="none"/>
        </w:rPr>
        <w:t xml:space="preserve">Để bảo đảm tính khả thi, phù hợp khả năng cân đối ngân sách địa phương, đồng thời tập trung nguồn lực thực hiện mục tiêu giảm mức sinh, giảm tỷ lệ sinh con thứ ba trở lên và nâng cao chất lượng dân số, </w:t>
      </w:r>
      <w:r>
        <w:rPr>
          <w:rFonts w:hint="default" w:cs="Times New Roman"/>
          <w:color w:val="auto"/>
          <w:sz w:val="28"/>
          <w:szCs w:val="28"/>
          <w:highlight w:val="none"/>
          <w:lang w:val="vi-VN"/>
        </w:rPr>
        <w:t xml:space="preserve">Sở Y tế </w:t>
      </w:r>
      <w:r>
        <w:rPr>
          <w:rFonts w:hint="default" w:ascii="Times New Roman" w:hAnsi="Times New Roman" w:cs="Times New Roman"/>
          <w:color w:val="auto"/>
          <w:sz w:val="28"/>
          <w:szCs w:val="28"/>
          <w:highlight w:val="none"/>
        </w:rPr>
        <w:t>đề xuất tên Nghị quyết</w:t>
      </w:r>
      <w:r>
        <w:rPr>
          <w:rFonts w:hint="default" w:cs="Times New Roman"/>
          <w:color w:val="auto"/>
          <w:sz w:val="28"/>
          <w:szCs w:val="28"/>
          <w:highlight w:val="none"/>
          <w:lang w:val="vi-VN"/>
        </w:rPr>
        <w:t xml:space="preserve"> </w:t>
      </w:r>
      <w:r>
        <w:rPr>
          <w:color w:val="auto"/>
          <w:sz w:val="28"/>
          <w:szCs w:val="28"/>
          <w:highlight w:val="none"/>
        </w:rPr>
        <w:t>để phù hợp với nội dung, cụ thể như sau</w:t>
      </w:r>
      <w:r>
        <w:rPr>
          <w:color w:val="auto"/>
          <w:sz w:val="28"/>
          <w:szCs w:val="28"/>
          <w:highlight w:val="none"/>
        </w:rPr>
        <w:t xml:space="preserve">: </w:t>
      </w:r>
      <w:r>
        <w:rPr>
          <w:rFonts w:hint="default" w:ascii="Times New Roman" w:hAnsi="Times New Roman" w:cs="Times New Roman"/>
          <w:color w:val="auto"/>
          <w:sz w:val="28"/>
          <w:szCs w:val="28"/>
          <w:highlight w:val="none"/>
        </w:rPr>
        <w:t>“Nghị quyết quy định hỗ trợ phương tiện tránh thai và chi phí dịch vụ kế hoạch hóa gia đình đối với phụ nữ sinh đủ 02 con trên địa bàn tỉnh Lạng Sơn”.</w:t>
      </w:r>
    </w:p>
    <w:p w14:paraId="6144B2DE">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rFonts w:hint="default"/>
          <w:color w:val="auto"/>
          <w:sz w:val="28"/>
          <w:szCs w:val="28"/>
          <w:highlight w:val="none"/>
          <w:lang w:val="vi-VN"/>
        </w:rPr>
      </w:pPr>
      <w:r>
        <w:rPr>
          <w:rFonts w:hint="default" w:ascii="Times New Roman" w:hAnsi="Times New Roman" w:cs="Times New Roman"/>
          <w:color w:val="auto"/>
          <w:sz w:val="28"/>
          <w:szCs w:val="28"/>
          <w:highlight w:val="none"/>
        </w:rPr>
        <w:t>Việc điều chỉnh này không làm thay đổi thẩm quyền ban hành và tính chất của chính sách, đồng thời bảo đảm thống nhất giữa tên gọi, nội dung và mục tiêu của Nghị quyết</w:t>
      </w:r>
      <w:r>
        <w:rPr>
          <w:rFonts w:hint="default" w:cs="Times New Roman"/>
          <w:color w:val="auto"/>
          <w:sz w:val="28"/>
          <w:szCs w:val="28"/>
          <w:highlight w:val="none"/>
          <w:lang w:val="vi-VN"/>
        </w:rPr>
        <w:t>; đảm bảo bao quát các đối tượng</w:t>
      </w:r>
      <w:r>
        <w:rPr>
          <w:rFonts w:hint="default" w:ascii="Times New Roman" w:hAnsi="Times New Roman" w:cs="Times New Roman"/>
          <w:color w:val="auto"/>
          <w:sz w:val="28"/>
          <w:szCs w:val="28"/>
          <w:highlight w:val="none"/>
        </w:rPr>
        <w:t>. Nội dung trên đã được thống nhất tại cuộc họp Tổ soạn thảo theo Quyết định số 584/QĐ-SYT ngày 28/4/2026 của Giám đốc Sở Y tế</w:t>
      </w:r>
      <w:r>
        <w:rPr>
          <w:rFonts w:hint="default" w:cs="Times New Roman"/>
          <w:color w:val="auto"/>
          <w:sz w:val="28"/>
          <w:szCs w:val="28"/>
          <w:highlight w:val="none"/>
          <w:lang w:val="vi-VN"/>
        </w:rPr>
        <w:t xml:space="preserve"> </w:t>
      </w:r>
      <w:r>
        <w:rPr>
          <w:rFonts w:hint="default"/>
          <w:color w:val="auto"/>
          <w:sz w:val="28"/>
          <w:szCs w:val="28"/>
          <w:highlight w:val="none"/>
          <w:lang w:val="vi-VN"/>
        </w:rPr>
        <w:t xml:space="preserve">và ý kiến </w:t>
      </w:r>
      <w:r>
        <w:rPr>
          <w:rFonts w:hint="default" w:ascii="Times New Roman" w:hAnsi="Times New Roman" w:cs="Times New Roman"/>
          <w:color w:val="auto"/>
          <w:sz w:val="28"/>
          <w:szCs w:val="28"/>
          <w:highlight w:val="none"/>
        </w:rPr>
        <w:t>đồng thuận</w:t>
      </w:r>
      <w:r>
        <w:rPr>
          <w:rFonts w:hint="default" w:cs="Times New Roman"/>
          <w:color w:val="auto"/>
          <w:sz w:val="28"/>
          <w:szCs w:val="28"/>
          <w:highlight w:val="none"/>
          <w:lang w:val="vi-VN"/>
        </w:rPr>
        <w:t xml:space="preserve"> </w:t>
      </w:r>
      <w:r>
        <w:rPr>
          <w:rFonts w:hint="default"/>
          <w:color w:val="auto"/>
          <w:sz w:val="28"/>
          <w:szCs w:val="28"/>
          <w:highlight w:val="none"/>
          <w:lang w:val="vi-VN"/>
        </w:rPr>
        <w:t>của các Sở ngành liên quan;</w:t>
      </w:r>
      <w:r>
        <w:rPr>
          <w:rFonts w:hint="default"/>
          <w:color w:val="auto"/>
          <w:sz w:val="28"/>
          <w:szCs w:val="28"/>
          <w:highlight w:val="none"/>
        </w:rPr>
        <w:t xml:space="preserve"> </w:t>
      </w:r>
      <w:r>
        <w:rPr>
          <w:rFonts w:hint="default"/>
          <w:color w:val="auto"/>
          <w:sz w:val="28"/>
          <w:szCs w:val="28"/>
          <w:highlight w:val="none"/>
          <w:lang w:val="vi-VN"/>
        </w:rPr>
        <w:t>phù hợp với</w:t>
      </w:r>
      <w:r>
        <w:rPr>
          <w:rFonts w:hint="default"/>
          <w:color w:val="auto"/>
          <w:sz w:val="28"/>
          <w:szCs w:val="28"/>
          <w:highlight w:val="none"/>
        </w:rPr>
        <w:t xml:space="preserve"> kết quả thẩm định của </w:t>
      </w:r>
      <w:r>
        <w:rPr>
          <w:rFonts w:hint="default"/>
          <w:color w:val="auto"/>
          <w:sz w:val="28"/>
          <w:szCs w:val="28"/>
          <w:highlight w:val="none"/>
          <w:lang w:val="vi-VN"/>
        </w:rPr>
        <w:t>Sở T</w:t>
      </w:r>
      <w:r>
        <w:rPr>
          <w:rFonts w:hint="default"/>
          <w:color w:val="auto"/>
          <w:sz w:val="28"/>
          <w:szCs w:val="28"/>
          <w:highlight w:val="none"/>
        </w:rPr>
        <w:t>ư pháp</w:t>
      </w:r>
      <w:r>
        <w:rPr>
          <w:rFonts w:hint="default"/>
          <w:color w:val="auto"/>
          <w:sz w:val="28"/>
          <w:szCs w:val="28"/>
          <w:highlight w:val="none"/>
          <w:lang w:val="vi-VN"/>
        </w:rPr>
        <w:t>.</w:t>
      </w:r>
    </w:p>
    <w:p w14:paraId="0CAF7B0B">
      <w:pPr>
        <w:keepNext w:val="0"/>
        <w:keepLines w:val="0"/>
        <w:pageBreakBefore w:val="0"/>
        <w:widowControl w:val="0"/>
        <w:numPr>
          <w:ilvl w:val="0"/>
          <w:numId w:val="4"/>
        </w:numPr>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bCs/>
          <w:color w:val="auto"/>
          <w:sz w:val="28"/>
          <w:szCs w:val="28"/>
          <w:highlight w:val="none"/>
        </w:rPr>
      </w:pPr>
      <w:r>
        <w:rPr>
          <w:b/>
          <w:bCs/>
          <w:color w:val="auto"/>
          <w:sz w:val="28"/>
          <w:szCs w:val="28"/>
          <w:highlight w:val="none"/>
        </w:rPr>
        <w:t xml:space="preserve">Đối tượng thụ hưởng của Nghị quyết </w:t>
      </w:r>
    </w:p>
    <w:p w14:paraId="39D1ACC1">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 xml:space="preserve">Ủy ban nhân dân tỉnh đề xuất lựa chọn đối tượng thụ hưởng là </w:t>
      </w:r>
      <w:r>
        <w:rPr>
          <w:i/>
          <w:iCs/>
          <w:color w:val="auto"/>
          <w:sz w:val="28"/>
          <w:szCs w:val="28"/>
          <w:highlight w:val="none"/>
        </w:rPr>
        <w:t>"phụ nữ sinh đủ 02 con"</w:t>
      </w:r>
      <w:r>
        <w:rPr>
          <w:color w:val="auto"/>
          <w:sz w:val="28"/>
          <w:szCs w:val="28"/>
          <w:highlight w:val="none"/>
        </w:rPr>
        <w:t xml:space="preserve"> (trong độ tuổi sinh đẻ, có nơi thường trú hoặc tạm trú trên địa bàn tỉnh). Để làm rõ cơ sở của đề xuất, UBND tỉnh báo cáo, giải trình chi tiết như sau: </w:t>
      </w:r>
    </w:p>
    <w:p w14:paraId="2A0C6445">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bCs/>
          <w:color w:val="auto"/>
          <w:sz w:val="28"/>
          <w:szCs w:val="28"/>
          <w:highlight w:val="none"/>
        </w:rPr>
      </w:pPr>
      <w:r>
        <w:rPr>
          <w:b/>
          <w:bCs/>
          <w:color w:val="auto"/>
          <w:sz w:val="28"/>
          <w:szCs w:val="28"/>
          <w:highlight w:val="none"/>
        </w:rPr>
        <w:t xml:space="preserve">2.1. Đề xuất nhóm đối tượng thụ hưởng </w:t>
      </w:r>
    </w:p>
    <w:p w14:paraId="5574062F">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 xml:space="preserve">Chính sách tập trung vào nhóm phụ nữ trong độ tuổi sinh đẻ đã sinh đủ 02 con nhằm kiểm soát trực tiếp nhóm nguy cơ cao phát sinh sinh con thứ ba trở lên. Từ đó, tạo đòn bẩy giảm tỷ lệ sinh con thứ ba (hiện đang ở mức 16,8% năm 2025) và đưa tổng tỷ suất sinh từ 2,45 con/phụ nữ tiến dần về mức sinh thay thế bền vững, bảo đảm tính thực tế và hiệu quả sử dụng ngân sách tỉnh. </w:t>
      </w:r>
    </w:p>
    <w:p w14:paraId="047C52A1">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bCs/>
          <w:color w:val="auto"/>
          <w:sz w:val="28"/>
          <w:szCs w:val="28"/>
          <w:highlight w:val="none"/>
        </w:rPr>
      </w:pPr>
      <w:r>
        <w:rPr>
          <w:b/>
          <w:bCs/>
          <w:color w:val="auto"/>
          <w:sz w:val="28"/>
          <w:szCs w:val="28"/>
          <w:highlight w:val="none"/>
        </w:rPr>
        <w:t>2.2. Các phương án xem xét và đánh giá tác động định lượng</w:t>
      </w:r>
    </w:p>
    <w:p w14:paraId="3AA5003E">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 xml:space="preserve">Trên cơ sở số liệu thống kê năm 2025, tổng số phụ nữ trong độ tuổi sinh đẻ của tỉnh là khoảng 98.600 người, trong đó số người đã sinh đủ 02 con là khoảng 23.000 người và đã sinh từ 03 con trở lên là khoảng 5.700 người. Ủy ban nhân dân tỉnh đã cân nhắc, so sánh giữa 02 phương án: </w:t>
      </w:r>
    </w:p>
    <w:p w14:paraId="6B41B0D2">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bCs/>
          <w:color w:val="auto"/>
          <w:sz w:val="28"/>
          <w:szCs w:val="28"/>
          <w:highlight w:val="none"/>
        </w:rPr>
      </w:pPr>
      <w:r>
        <w:rPr>
          <w:b/>
          <w:bCs/>
          <w:i/>
          <w:iCs/>
          <w:color w:val="auto"/>
          <w:sz w:val="28"/>
          <w:szCs w:val="28"/>
          <w:highlight w:val="none"/>
        </w:rPr>
        <w:t>- Phương án 1 (Hỗ trợ đối với phụ nữ sinh đủ 02 con trở lên):</w:t>
      </w:r>
      <w:r>
        <w:rPr>
          <w:b/>
          <w:bCs/>
          <w:color w:val="auto"/>
          <w:sz w:val="28"/>
          <w:szCs w:val="28"/>
          <w:highlight w:val="none"/>
        </w:rPr>
        <w:t xml:space="preserve"> </w:t>
      </w:r>
    </w:p>
    <w:p w14:paraId="6EEDB0FE">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rFonts w:hint="default"/>
          <w:color w:val="auto"/>
          <w:sz w:val="28"/>
          <w:szCs w:val="28"/>
          <w:highlight w:val="none"/>
          <w:lang w:val="en-US"/>
        </w:rPr>
        <w:t xml:space="preserve">+ </w:t>
      </w:r>
      <w:r>
        <w:rPr>
          <w:color w:val="auto"/>
          <w:sz w:val="28"/>
          <w:szCs w:val="28"/>
          <w:highlight w:val="none"/>
        </w:rPr>
        <w:t xml:space="preserve">Phạm vi bao phủ toàn bộ nhóm đối tượng có khả năng phát sinh nhu cầu, ngăn ngừa mang thai ngoài ý muốn và hạn chế sinh con thứ ba ngay từ đầu. ưu điểm là phạm vi hỗ trợ  bao phủ toàn bộ nhóm đối tượng có khả năng phát sinh nhu cầu sử dụng phương tiện tránh thai và dịch vụ kế hoạch hóa gia đình; góp phần giảm tình trạng mang thai ngoài ý muốn, hạn chế sinh con thứ ba trở lên, bảo đảm tính công bằng trong tiếp cận chính sách và không bỏ sót các nhóm đối tượng có nhu cầu thực tế. Đồng thời, phương án này phù hợp với yêu cầu duy trì mức sinh hợp lý, nâng cao chất lượng dân số và chủ động thích ứng với những thay đổi về cơ cấu dân số trong thời gian tới. </w:t>
      </w:r>
    </w:p>
    <w:p w14:paraId="6CD735FC">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rFonts w:hint="default"/>
          <w:color w:val="auto"/>
          <w:sz w:val="28"/>
          <w:szCs w:val="28"/>
          <w:highlight w:val="none"/>
          <w:lang w:val="en-US"/>
        </w:rPr>
      </w:pPr>
      <w:r>
        <w:rPr>
          <w:rFonts w:hint="default"/>
          <w:b w:val="0"/>
          <w:bCs w:val="0"/>
          <w:i/>
          <w:iCs/>
          <w:color w:val="auto"/>
          <w:sz w:val="28"/>
          <w:szCs w:val="28"/>
          <w:highlight w:val="none"/>
          <w:lang w:val="en-US"/>
        </w:rPr>
        <w:t xml:space="preserve">+ </w:t>
      </w:r>
      <w:r>
        <w:rPr>
          <w:b w:val="0"/>
          <w:bCs w:val="0"/>
          <w:i/>
          <w:iCs/>
          <w:color w:val="auto"/>
          <w:sz w:val="28"/>
          <w:szCs w:val="28"/>
          <w:highlight w:val="none"/>
        </w:rPr>
        <w:t xml:space="preserve">Đánh giá tác động định lượng: </w:t>
      </w:r>
      <w:r>
        <w:rPr>
          <w:color w:val="auto"/>
          <w:sz w:val="28"/>
          <w:szCs w:val="28"/>
          <w:highlight w:val="none"/>
        </w:rPr>
        <w:t>Mức giảm dự kiến đạt từ 0,30 đến 0,40 con/phụ nữ, giúp đưa tỷ suất sinh từ 2,45 con xuống còn khoảng 2,05 - 2,15 con (đạt hoặc tiệm cận ngưỡng thay thế bền vững theo Nghị quyết số 21-NQ/TW). Kinh phí thực hiện phương án khoảng 3,38 tỷ đồng/năm</w:t>
      </w:r>
      <w:r>
        <w:rPr>
          <w:rFonts w:hint="default"/>
          <w:color w:val="auto"/>
          <w:sz w:val="28"/>
          <w:szCs w:val="28"/>
          <w:highlight w:val="none"/>
          <w:lang w:val="en-US"/>
        </w:rPr>
        <w:t xml:space="preserve">, </w:t>
      </w:r>
      <w:r>
        <w:rPr>
          <w:color w:val="auto"/>
          <w:sz w:val="28"/>
          <w:szCs w:val="28"/>
          <w:highlight w:val="none"/>
        </w:rPr>
        <w:t>phù hợp với khả năng cân đối ngân sách của địa phương</w:t>
      </w:r>
      <w:r>
        <w:rPr>
          <w:rFonts w:hint="default"/>
          <w:color w:val="auto"/>
          <w:sz w:val="28"/>
          <w:szCs w:val="28"/>
          <w:highlight w:val="none"/>
          <w:lang w:val="en-US"/>
        </w:rPr>
        <w:t>.</w:t>
      </w:r>
    </w:p>
    <w:p w14:paraId="32BC0F93">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rFonts w:hint="default"/>
          <w:color w:val="auto"/>
          <w:sz w:val="28"/>
          <w:szCs w:val="28"/>
          <w:highlight w:val="none"/>
          <w:lang w:val="en-US"/>
        </w:rPr>
      </w:pPr>
      <w:r>
        <w:rPr>
          <w:b/>
          <w:bCs/>
          <w:i/>
          <w:iCs/>
          <w:color w:val="auto"/>
          <w:sz w:val="28"/>
          <w:szCs w:val="28"/>
          <w:highlight w:val="none"/>
        </w:rPr>
        <w:t>- Phương án 2 (Chỉ hỗ trợ đối với phụ nữ đã sinh từ 03 con trở lên):</w:t>
      </w:r>
      <w:r>
        <w:rPr>
          <w:b/>
          <w:bCs/>
          <w:color w:val="auto"/>
          <w:sz w:val="28"/>
          <w:szCs w:val="28"/>
          <w:highlight w:val="none"/>
        </w:rPr>
        <w:t xml:space="preserve"> </w:t>
      </w:r>
    </w:p>
    <w:p w14:paraId="212EFDB3">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rFonts w:hint="default"/>
          <w:color w:val="auto"/>
          <w:sz w:val="28"/>
          <w:szCs w:val="28"/>
          <w:highlight w:val="none"/>
          <w:lang w:val="en-US"/>
        </w:rPr>
        <w:t xml:space="preserve">+ </w:t>
      </w:r>
      <w:r>
        <w:rPr>
          <w:color w:val="auto"/>
          <w:sz w:val="28"/>
          <w:szCs w:val="28"/>
          <w:highlight w:val="none"/>
        </w:rPr>
        <w:t xml:space="preserve">Phạm vi hỗ trợ hẹp, kinh phí thấp (khoảng trên 800 triệu đồng/năm), tập trung nhóm đã lỡ sinh con thứ ba để hạn chế các lần sinh tiếp theo. Ưu điểm của phương án này là phạm vi hỗ trợ hẹp nên nhu cầu kinh phí thấp hơn, dự kiến khoảng trên 800 triệu đồng mỗi năm, đồng thời tập trung nguồn lực cho nhóm đã phát sinh sinh con thứ ba để hạn chế các lần sinh tiếp theo. </w:t>
      </w:r>
    </w:p>
    <w:p w14:paraId="283994C5">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rStyle w:val="25"/>
          <w:rFonts w:hint="default"/>
          <w:b w:val="0"/>
          <w:bCs w:val="0"/>
          <w:i/>
          <w:iCs/>
          <w:color w:val="auto"/>
          <w:sz w:val="28"/>
          <w:szCs w:val="28"/>
          <w:highlight w:val="none"/>
          <w:lang w:val="en-US"/>
        </w:rPr>
        <w:t xml:space="preserve">+ </w:t>
      </w:r>
      <w:r>
        <w:rPr>
          <w:rStyle w:val="25"/>
          <w:b w:val="0"/>
          <w:bCs w:val="0"/>
          <w:i/>
          <w:iCs/>
          <w:color w:val="auto"/>
          <w:sz w:val="28"/>
          <w:szCs w:val="28"/>
          <w:highlight w:val="none"/>
        </w:rPr>
        <w:t>Đánh giá tác động định lượng:</w:t>
      </w:r>
      <w:r>
        <w:rPr>
          <w:i/>
          <w:iCs/>
          <w:color w:val="auto"/>
          <w:sz w:val="28"/>
          <w:szCs w:val="28"/>
          <w:highlight w:val="none"/>
        </w:rPr>
        <w:t xml:space="preserve"> </w:t>
      </w:r>
      <w:r>
        <w:rPr>
          <w:color w:val="auto"/>
          <w:sz w:val="28"/>
          <w:szCs w:val="28"/>
          <w:highlight w:val="none"/>
        </w:rPr>
        <w:t xml:space="preserve">Phương án này hoàn toàn </w:t>
      </w:r>
      <w:r>
        <w:rPr>
          <w:rFonts w:hint="default"/>
          <w:color w:val="auto"/>
          <w:sz w:val="28"/>
          <w:szCs w:val="28"/>
          <w:highlight w:val="none"/>
          <w:lang w:val="en-US"/>
        </w:rPr>
        <w:t>không tác động</w:t>
      </w:r>
      <w:r>
        <w:rPr>
          <w:color w:val="auto"/>
          <w:sz w:val="28"/>
          <w:szCs w:val="28"/>
          <w:highlight w:val="none"/>
        </w:rPr>
        <w:t xml:space="preserve"> trong việc phòng ngừa sinh con thứ ba từ đầu, mức giảm tổng tỷ suất sinh chỉ đạt 0,05 đến 0,08 con/phụ nữ (tức là chỉ đưa tỷ suất sinh từ 2,45 con xuống khoảng 2,37 - 2,40 con), không đạt mục tiêu chiến lược của tỉnh.</w:t>
      </w:r>
    </w:p>
    <w:p w14:paraId="4C9686B9">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
          <w:bCs/>
          <w:color w:val="auto"/>
          <w:sz w:val="28"/>
          <w:szCs w:val="28"/>
          <w:highlight w:val="none"/>
        </w:rPr>
      </w:pPr>
      <w:r>
        <w:rPr>
          <w:b/>
          <w:bCs/>
          <w:color w:val="auto"/>
          <w:sz w:val="28"/>
          <w:szCs w:val="28"/>
          <w:highlight w:val="none"/>
        </w:rPr>
        <w:t>2.3. Giải trình tính hợp pháp, hiệu quả và khả năng cân đối ngân sách</w:t>
      </w:r>
    </w:p>
    <w:p w14:paraId="18593D7A">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i/>
          <w:iCs/>
          <w:color w:val="auto"/>
          <w:sz w:val="28"/>
          <w:szCs w:val="28"/>
          <w:highlight w:val="none"/>
        </w:rPr>
        <w:t>Về tính hợp pháp:</w:t>
      </w:r>
      <w:r>
        <w:rPr>
          <w:color w:val="auto"/>
          <w:sz w:val="28"/>
          <w:szCs w:val="28"/>
          <w:highlight w:val="none"/>
        </w:rPr>
        <w:t xml:space="preserve"> Quy định nhóm đối tượng này hoàn toàn nằm trong phạm vi giao quyền tại Khoản 3 Điều 22 Luật Dân số, không mở rộng đối tượng trái quy định pháp luật.</w:t>
      </w:r>
    </w:p>
    <w:p w14:paraId="3C2DD622">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i/>
          <w:iCs/>
          <w:color w:val="auto"/>
          <w:sz w:val="28"/>
          <w:szCs w:val="28"/>
          <w:highlight w:val="none"/>
        </w:rPr>
        <w:t>Vì sao không chọn nhóm hộ nghèo, cận nghèo, bảo trợ xã hội:</w:t>
      </w:r>
      <w:r>
        <w:rPr>
          <w:color w:val="auto"/>
          <w:sz w:val="28"/>
          <w:szCs w:val="28"/>
          <w:highlight w:val="none"/>
        </w:rPr>
        <w:t xml:space="preserve"> Nhóm này phân tán rải rác và biến động cơ học liên tục hằng năm theo kết quả rà soát nghèo đa chiều, gây khó khăn lớn cho việc lập dự toán ngân sách ổn định; không tối ưu được nguồn lực để giải quyết dứt điểm mục tiêu giảm mức sinh.</w:t>
      </w:r>
    </w:p>
    <w:p w14:paraId="44B9024F">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i/>
          <w:iCs/>
          <w:color w:val="auto"/>
          <w:sz w:val="28"/>
          <w:szCs w:val="28"/>
          <w:highlight w:val="none"/>
        </w:rPr>
        <w:t>Vì sao không chọn nhóm xã khu vực biên giới đất liền:</w:t>
      </w:r>
      <w:r>
        <w:rPr>
          <w:color w:val="auto"/>
          <w:sz w:val="28"/>
          <w:szCs w:val="28"/>
          <w:highlight w:val="none"/>
        </w:rPr>
        <w:t xml:space="preserve"> Phương án biên giới quy mô quá hẹp, bỏ sót nhiều xã khó khăn có tỷ lệ sinh con thứ ba đang gia tăng, không giải quyết được triệt để bài toán dân số trên toàn tỉnh.</w:t>
      </w:r>
    </w:p>
    <w:p w14:paraId="5C44A6A9">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rFonts w:ascii="Arial" w:hAnsi="Arial" w:cs="Arial"/>
          <w:color w:val="auto"/>
          <w:sz w:val="24"/>
          <w:szCs w:val="24"/>
          <w:highlight w:val="none"/>
        </w:rPr>
      </w:pPr>
      <w:r>
        <w:rPr>
          <w:i/>
          <w:iCs/>
          <w:color w:val="auto"/>
          <w:sz w:val="28"/>
          <w:szCs w:val="28"/>
          <w:highlight w:val="none"/>
        </w:rPr>
        <w:t>Khả năng cân đối ngân sách thực tế:</w:t>
      </w:r>
      <w:r>
        <w:rPr>
          <w:color w:val="auto"/>
          <w:sz w:val="28"/>
          <w:szCs w:val="28"/>
          <w:highlight w:val="none"/>
        </w:rPr>
        <w:t xml:space="preserve"> Do nguồn ngân sách tỉnh còn hạn hẹp, việc hỗ trợ cho người chưa sinh hoặc mới sinh 01 con tại thời điểm này là chưa cần thiết. Do đó, tập trung kinh phí 3,38 tỷ đồng/năm cho phương án hỗ trợ phụ nữ sinh đủ 02 con là giải pháp bảo đảm sự cân bằng hợp lý nhất, trúng đích nguy cơ, tiết kiệm, hiệu quả, phù hợp với Lạng Sơn chưa có nguy cơ già hóa dân số trong 10 năm tới. </w:t>
      </w:r>
    </w:p>
    <w:p w14:paraId="07309BED">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color w:val="auto"/>
          <w:sz w:val="28"/>
          <w:szCs w:val="28"/>
          <w:highlight w:val="none"/>
        </w:rPr>
      </w:pPr>
      <w:r>
        <w:rPr>
          <w:color w:val="auto"/>
          <w:sz w:val="28"/>
          <w:szCs w:val="28"/>
          <w:highlight w:val="none"/>
        </w:rPr>
        <w:t xml:space="preserve">Từ các nội dung phân tích trên Sở Y tế xin ý kiến Ủy ban nhân dân tỉnh trình Hội đồng nhân dân tỉnh về đối tượng của Nghị quyết  là </w:t>
      </w:r>
      <w:r>
        <w:rPr>
          <w:b/>
          <w:bCs/>
          <w:color w:val="auto"/>
          <w:sz w:val="28"/>
          <w:szCs w:val="28"/>
          <w:highlight w:val="none"/>
        </w:rPr>
        <w:t xml:space="preserve">“phụ nữ sinh đủ 02 con” </w:t>
      </w:r>
      <w:r>
        <w:rPr>
          <w:color w:val="auto"/>
          <w:sz w:val="28"/>
          <w:szCs w:val="28"/>
          <w:highlight w:val="none"/>
        </w:rPr>
        <w:t xml:space="preserve">nhằm tiết kiệm ngân sách địa phương; thực hiện mục tiêu giảm mức sinh và giảm tỷ lệ sinh con thứ 3 </w:t>
      </w:r>
      <w:r>
        <w:rPr>
          <w:color w:val="auto"/>
          <w:sz w:val="28"/>
          <w:szCs w:val="28"/>
          <w:highlight w:val="none"/>
        </w:rPr>
        <w:t>trở lên</w:t>
      </w:r>
      <w:r>
        <w:rPr>
          <w:color w:val="auto"/>
          <w:sz w:val="28"/>
          <w:szCs w:val="28"/>
          <w:highlight w:val="none"/>
        </w:rPr>
        <w:t xml:space="preserve"> của tỉnh.</w:t>
      </w:r>
    </w:p>
    <w:p w14:paraId="7FAC4F91">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Cs/>
          <w:color w:val="auto"/>
          <w:sz w:val="28"/>
          <w:szCs w:val="28"/>
          <w:highlight w:val="none"/>
        </w:rPr>
      </w:pPr>
      <w:r>
        <w:rPr>
          <w:bCs/>
          <w:color w:val="auto"/>
          <w:sz w:val="28"/>
          <w:szCs w:val="28"/>
          <w:highlight w:val="none"/>
        </w:rPr>
        <w:t xml:space="preserve">Trên đây là Tờ trình quy định hỗ trợ phương tiện tránh thai và chi phí dịch vụ kế hoạch hóa gia đình </w:t>
      </w:r>
      <w:r>
        <w:rPr>
          <w:color w:val="auto"/>
          <w:sz w:val="28"/>
          <w:szCs w:val="28"/>
          <w:highlight w:val="none"/>
        </w:rPr>
        <w:t xml:space="preserve">đối với phụ nữ sinh đủ 02 con </w:t>
      </w:r>
      <w:r>
        <w:rPr>
          <w:bCs/>
          <w:color w:val="auto"/>
          <w:sz w:val="28"/>
          <w:szCs w:val="28"/>
          <w:highlight w:val="none"/>
        </w:rPr>
        <w:t xml:space="preserve">trên địa bàn tỉnh Lạng Sơn. </w:t>
      </w:r>
    </w:p>
    <w:p w14:paraId="0058427B">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bCs/>
          <w:color w:val="auto"/>
          <w:sz w:val="28"/>
          <w:szCs w:val="28"/>
          <w:highlight w:val="none"/>
        </w:rPr>
      </w:pPr>
      <w:r>
        <w:rPr>
          <w:bCs/>
          <w:color w:val="auto"/>
          <w:sz w:val="28"/>
          <w:szCs w:val="28"/>
          <w:highlight w:val="none"/>
        </w:rPr>
        <w:t>Sở Y tế kính trình Uỷ ban nhân dân tỉnh Lạng Sơn xem xét./.</w:t>
      </w:r>
    </w:p>
    <w:p w14:paraId="7BD5DA87">
      <w:pPr>
        <w:keepNext w:val="0"/>
        <w:keepLines w:val="0"/>
        <w:pageBreakBefore w:val="0"/>
        <w:widowControl w:val="0"/>
        <w:pBdr>
          <w:top w:val="dotted" w:color="FFFFFF" w:sz="4" w:space="0"/>
          <w:left w:val="dotted" w:color="FFFFFF" w:sz="4" w:space="0"/>
          <w:bottom w:val="dotted" w:color="FFFFFF" w:sz="4" w:space="16"/>
          <w:right w:val="dotted" w:color="FFFFFF" w:sz="4" w:space="0"/>
        </w:pBdr>
        <w:shd w:val="clear" w:color="auto" w:fill="FFFFFF"/>
        <w:kinsoku/>
        <w:wordWrap/>
        <w:overflowPunct/>
        <w:topLinePunct w:val="0"/>
        <w:autoSpaceDE/>
        <w:autoSpaceDN/>
        <w:bidi w:val="0"/>
        <w:adjustRightInd/>
        <w:snapToGrid/>
        <w:spacing w:before="120"/>
        <w:ind w:firstLine="720"/>
        <w:jc w:val="both"/>
        <w:textAlignment w:val="auto"/>
        <w:rPr>
          <w:i/>
          <w:color w:val="auto"/>
          <w:sz w:val="28"/>
          <w:szCs w:val="28"/>
          <w:highlight w:val="none"/>
          <w:lang w:val="vi-VN"/>
        </w:rPr>
      </w:pPr>
      <w:r>
        <w:rPr>
          <w:i/>
          <w:color w:val="auto"/>
          <w:sz w:val="28"/>
          <w:szCs w:val="28"/>
          <w:highlight w:val="none"/>
          <w:lang w:val="vi-VN"/>
        </w:rPr>
        <w:t>(Hồ</w:t>
      </w:r>
      <w:r>
        <w:rPr>
          <w:i/>
          <w:color w:val="auto"/>
          <w:sz w:val="28"/>
          <w:szCs w:val="28"/>
          <w:highlight w:val="none"/>
        </w:rPr>
        <w:t xml:space="preserve"> </w:t>
      </w:r>
      <w:r>
        <w:rPr>
          <w:i/>
          <w:color w:val="auto"/>
          <w:sz w:val="28"/>
          <w:szCs w:val="28"/>
          <w:highlight w:val="none"/>
          <w:lang w:val="vi-VN"/>
        </w:rPr>
        <w:t>sơ</w:t>
      </w:r>
      <w:r>
        <w:rPr>
          <w:i/>
          <w:color w:val="auto"/>
          <w:spacing w:val="-2"/>
          <w:sz w:val="28"/>
          <w:szCs w:val="28"/>
          <w:highlight w:val="none"/>
          <w:lang w:val="vi-VN"/>
        </w:rPr>
        <w:t xml:space="preserve"> trình </w:t>
      </w:r>
      <w:r>
        <w:rPr>
          <w:i/>
          <w:color w:val="auto"/>
          <w:sz w:val="28"/>
          <w:szCs w:val="28"/>
          <w:highlight w:val="none"/>
          <w:lang w:val="vi-VN"/>
        </w:rPr>
        <w:t>dự</w:t>
      </w:r>
      <w:r>
        <w:rPr>
          <w:i/>
          <w:color w:val="auto"/>
          <w:sz w:val="28"/>
          <w:szCs w:val="28"/>
          <w:highlight w:val="none"/>
        </w:rPr>
        <w:t xml:space="preserve"> </w:t>
      </w:r>
      <w:r>
        <w:rPr>
          <w:i/>
          <w:color w:val="auto"/>
          <w:sz w:val="28"/>
          <w:szCs w:val="28"/>
          <w:highlight w:val="none"/>
          <w:lang w:val="vi-VN"/>
        </w:rPr>
        <w:t>thảo Nghị</w:t>
      </w:r>
      <w:r>
        <w:rPr>
          <w:i/>
          <w:color w:val="auto"/>
          <w:sz w:val="28"/>
          <w:szCs w:val="28"/>
          <w:highlight w:val="none"/>
        </w:rPr>
        <w:t xml:space="preserve"> </w:t>
      </w:r>
      <w:r>
        <w:rPr>
          <w:i/>
          <w:color w:val="auto"/>
          <w:sz w:val="28"/>
          <w:szCs w:val="28"/>
          <w:highlight w:val="none"/>
          <w:lang w:val="vi-VN"/>
        </w:rPr>
        <w:t>quyết</w:t>
      </w:r>
      <w:r>
        <w:rPr>
          <w:i/>
          <w:color w:val="auto"/>
          <w:sz w:val="28"/>
          <w:szCs w:val="28"/>
          <w:highlight w:val="none"/>
        </w:rPr>
        <w:t xml:space="preserve"> </w:t>
      </w:r>
      <w:r>
        <w:rPr>
          <w:i/>
          <w:color w:val="auto"/>
          <w:sz w:val="28"/>
          <w:szCs w:val="28"/>
          <w:highlight w:val="none"/>
          <w:lang w:val="vi-VN"/>
        </w:rPr>
        <w:t>gồm:</w:t>
      </w:r>
      <w:r>
        <w:rPr>
          <w:i/>
          <w:iCs/>
          <w:color w:val="auto"/>
          <w:spacing w:val="-4"/>
          <w:kern w:val="2"/>
          <w:sz w:val="28"/>
          <w:szCs w:val="28"/>
          <w:highlight w:val="none"/>
          <w:lang w:val="nl-NL"/>
        </w:rPr>
        <w:t xml:space="preserve"> Dự thảo Tờ trình của UBND tỉnh trình </w:t>
      </w:r>
      <w:r>
        <w:rPr>
          <w:i/>
          <w:color w:val="auto"/>
          <w:sz w:val="28"/>
          <w:szCs w:val="28"/>
          <w:highlight w:val="none"/>
          <w:lang w:val="vi-VN"/>
        </w:rPr>
        <w:t>Hội đồng nhân dân tỉnh</w:t>
      </w:r>
      <w:r>
        <w:rPr>
          <w:i/>
          <w:iCs/>
          <w:color w:val="auto"/>
          <w:spacing w:val="-4"/>
          <w:kern w:val="2"/>
          <w:sz w:val="28"/>
          <w:szCs w:val="28"/>
          <w:highlight w:val="none"/>
          <w:lang w:val="nl-NL"/>
        </w:rPr>
        <w:t>; Dự thảo Nghị quyết</w:t>
      </w:r>
      <w:r>
        <w:rPr>
          <w:i/>
          <w:color w:val="auto"/>
          <w:sz w:val="28"/>
          <w:szCs w:val="28"/>
          <w:highlight w:val="none"/>
          <w:lang w:val="vi-VN"/>
        </w:rPr>
        <w:t xml:space="preserve"> của Hội đồng nhân dân tỉnh</w:t>
      </w:r>
      <w:r>
        <w:rPr>
          <w:i/>
          <w:color w:val="auto"/>
          <w:sz w:val="28"/>
          <w:szCs w:val="28"/>
          <w:highlight w:val="none"/>
        </w:rPr>
        <w:t xml:space="preserve"> và các tài liệu kèm theo)</w:t>
      </w:r>
      <w:r>
        <w:rPr>
          <w:i/>
          <w:color w:val="auto"/>
          <w:sz w:val="28"/>
          <w:szCs w:val="28"/>
          <w:highlight w:val="none"/>
          <w:lang w:val="vi-VN"/>
        </w:rPr>
        <w:t>.</w:t>
      </w:r>
    </w:p>
    <w:tbl>
      <w:tblPr>
        <w:tblStyle w:val="12"/>
        <w:tblW w:w="9106" w:type="dxa"/>
        <w:tblInd w:w="108" w:type="dxa"/>
        <w:tblLayout w:type="autofit"/>
        <w:tblCellMar>
          <w:top w:w="0" w:type="dxa"/>
          <w:left w:w="108" w:type="dxa"/>
          <w:bottom w:w="0" w:type="dxa"/>
          <w:right w:w="108" w:type="dxa"/>
        </w:tblCellMar>
      </w:tblPr>
      <w:tblGrid>
        <w:gridCol w:w="3828"/>
        <w:gridCol w:w="5278"/>
      </w:tblGrid>
      <w:tr w14:paraId="281479BE">
        <w:tc>
          <w:tcPr>
            <w:tcW w:w="3828" w:type="dxa"/>
          </w:tcPr>
          <w:p w14:paraId="51B3820D">
            <w:pPr>
              <w:pStyle w:val="14"/>
              <w:pBdr>
                <w:top w:val="none" w:color="auto" w:sz="0" w:space="0"/>
                <w:left w:val="none" w:color="auto" w:sz="0" w:space="0"/>
                <w:bottom w:val="none" w:color="auto" w:sz="0" w:space="0"/>
                <w:right w:val="none" w:color="auto" w:sz="0" w:space="0"/>
                <w:between w:val="none" w:color="auto" w:sz="0" w:space="0"/>
              </w:pBdr>
              <w:spacing w:after="60"/>
              <w:rPr>
                <w:b/>
                <w:bCs/>
                <w:i/>
                <w:color w:val="auto"/>
                <w:sz w:val="26"/>
                <w:szCs w:val="26"/>
                <w:highlight w:val="none"/>
                <w:lang w:val="vi-VN"/>
              </w:rPr>
            </w:pPr>
            <w:r>
              <w:rPr>
                <w:b/>
                <w:bCs/>
                <w:i/>
                <w:color w:val="auto"/>
                <w:sz w:val="26"/>
                <w:szCs w:val="26"/>
                <w:highlight w:val="none"/>
                <w:lang w:val="vi-VN"/>
              </w:rPr>
              <w:t>Nơi nhận:</w:t>
            </w:r>
          </w:p>
          <w:p w14:paraId="0D8D2971">
            <w:pPr>
              <w:pStyle w:val="14"/>
              <w:pBdr>
                <w:top w:val="none" w:color="auto" w:sz="0" w:space="0"/>
                <w:left w:val="none" w:color="auto" w:sz="0" w:space="0"/>
                <w:bottom w:val="none" w:color="auto" w:sz="0" w:space="0"/>
                <w:right w:val="none" w:color="auto" w:sz="0" w:space="0"/>
                <w:between w:val="none" w:color="auto" w:sz="0" w:space="0"/>
              </w:pBdr>
              <w:spacing w:after="0"/>
              <w:rPr>
                <w:color w:val="auto"/>
                <w:szCs w:val="28"/>
                <w:highlight w:val="none"/>
                <w:lang w:val="vi-VN"/>
              </w:rPr>
            </w:pPr>
            <w:r>
              <w:rPr>
                <w:color w:val="auto"/>
                <w:sz w:val="22"/>
                <w:szCs w:val="28"/>
                <w:highlight w:val="none"/>
                <w:lang w:val="vi-VN"/>
              </w:rPr>
              <w:t>- Như trên;</w:t>
            </w:r>
          </w:p>
          <w:p w14:paraId="33EB0979">
            <w:pPr>
              <w:pStyle w:val="14"/>
              <w:pBdr>
                <w:top w:val="none" w:color="auto" w:sz="0" w:space="0"/>
                <w:left w:val="none" w:color="auto" w:sz="0" w:space="0"/>
                <w:bottom w:val="none" w:color="auto" w:sz="0" w:space="0"/>
                <w:right w:val="none" w:color="auto" w:sz="0" w:space="0"/>
                <w:between w:val="none" w:color="auto" w:sz="0" w:space="0"/>
              </w:pBdr>
              <w:spacing w:after="0"/>
              <w:rPr>
                <w:color w:val="auto"/>
                <w:sz w:val="22"/>
                <w:szCs w:val="28"/>
                <w:highlight w:val="none"/>
                <w:lang w:val="vi-VN"/>
              </w:rPr>
            </w:pPr>
            <w:r>
              <w:rPr>
                <w:color w:val="auto"/>
                <w:sz w:val="22"/>
                <w:szCs w:val="28"/>
                <w:highlight w:val="none"/>
                <w:lang w:val="vi-VN"/>
              </w:rPr>
              <w:t>- Sở Tư pháp;</w:t>
            </w:r>
          </w:p>
          <w:p w14:paraId="3566EFE5">
            <w:pPr>
              <w:pStyle w:val="14"/>
              <w:pBdr>
                <w:top w:val="none" w:color="auto" w:sz="0" w:space="0"/>
                <w:left w:val="none" w:color="auto" w:sz="0" w:space="0"/>
                <w:bottom w:val="none" w:color="auto" w:sz="0" w:space="0"/>
                <w:right w:val="none" w:color="auto" w:sz="0" w:space="0"/>
                <w:between w:val="none" w:color="auto" w:sz="0" w:space="0"/>
              </w:pBdr>
              <w:spacing w:after="0"/>
              <w:rPr>
                <w:color w:val="auto"/>
                <w:szCs w:val="28"/>
                <w:highlight w:val="none"/>
              </w:rPr>
            </w:pPr>
            <w:r>
              <w:rPr>
                <w:color w:val="auto"/>
                <w:sz w:val="22"/>
                <w:szCs w:val="28"/>
                <w:highlight w:val="none"/>
              </w:rPr>
              <w:t>- Giám đốc Sở (b/c);</w:t>
            </w:r>
          </w:p>
          <w:p w14:paraId="671A93DD">
            <w:pPr>
              <w:pStyle w:val="14"/>
              <w:pBdr>
                <w:top w:val="none" w:color="auto" w:sz="0" w:space="0"/>
                <w:left w:val="none" w:color="auto" w:sz="0" w:space="0"/>
                <w:bottom w:val="none" w:color="auto" w:sz="0" w:space="0"/>
                <w:right w:val="none" w:color="auto" w:sz="0" w:space="0"/>
                <w:between w:val="none" w:color="auto" w:sz="0" w:space="0"/>
              </w:pBdr>
              <w:spacing w:after="0"/>
              <w:rPr>
                <w:color w:val="auto"/>
                <w:sz w:val="22"/>
                <w:szCs w:val="28"/>
                <w:highlight w:val="none"/>
              </w:rPr>
            </w:pPr>
            <w:r>
              <w:rPr>
                <w:color w:val="auto"/>
                <w:sz w:val="22"/>
                <w:szCs w:val="28"/>
                <w:highlight w:val="none"/>
                <w:lang w:val="vi-VN"/>
              </w:rPr>
              <w:t>- Các Phó Giám đốc;</w:t>
            </w:r>
          </w:p>
          <w:p w14:paraId="23D1BBAF">
            <w:pPr>
              <w:pStyle w:val="14"/>
              <w:pBdr>
                <w:top w:val="none" w:color="auto" w:sz="0" w:space="0"/>
                <w:left w:val="none" w:color="auto" w:sz="0" w:space="0"/>
                <w:bottom w:val="none" w:color="auto" w:sz="0" w:space="0"/>
                <w:right w:val="none" w:color="auto" w:sz="0" w:space="0"/>
                <w:between w:val="none" w:color="auto" w:sz="0" w:space="0"/>
              </w:pBdr>
              <w:spacing w:after="0"/>
              <w:rPr>
                <w:color w:val="auto"/>
                <w:szCs w:val="28"/>
                <w:highlight w:val="none"/>
              </w:rPr>
            </w:pPr>
            <w:r>
              <w:rPr>
                <w:color w:val="auto"/>
                <w:sz w:val="22"/>
                <w:szCs w:val="28"/>
                <w:highlight w:val="none"/>
              </w:rPr>
              <w:t>- Các phòng chuyên môn Sở;</w:t>
            </w:r>
          </w:p>
          <w:p w14:paraId="66BD55D3">
            <w:pPr>
              <w:pBdr>
                <w:top w:val="none" w:color="auto" w:sz="0" w:space="0"/>
                <w:left w:val="none" w:color="auto" w:sz="0" w:space="0"/>
                <w:bottom w:val="none" w:color="auto" w:sz="0" w:space="0"/>
                <w:right w:val="none" w:color="auto" w:sz="0" w:space="0"/>
                <w:between w:val="none" w:color="auto" w:sz="0" w:space="0"/>
              </w:pBdr>
              <w:rPr>
                <w:color w:val="auto"/>
                <w:sz w:val="28"/>
                <w:szCs w:val="28"/>
                <w:highlight w:val="none"/>
              </w:rPr>
            </w:pPr>
            <w:r>
              <w:rPr>
                <w:color w:val="auto"/>
                <w:sz w:val="22"/>
                <w:szCs w:val="28"/>
                <w:highlight w:val="none"/>
                <w:lang w:val="vi-VN"/>
              </w:rPr>
              <w:t>- Lưu: VT, P</w:t>
            </w:r>
            <w:r>
              <w:rPr>
                <w:color w:val="auto"/>
                <w:sz w:val="22"/>
                <w:szCs w:val="28"/>
                <w:highlight w:val="none"/>
              </w:rPr>
              <w:t>DS</w:t>
            </w:r>
            <w:r>
              <w:rPr>
                <w:color w:val="auto"/>
                <w:sz w:val="16"/>
                <w:szCs w:val="16"/>
                <w:highlight w:val="none"/>
              </w:rPr>
              <w:t>(PTMK).</w:t>
            </w:r>
          </w:p>
        </w:tc>
        <w:tc>
          <w:tcPr>
            <w:tcW w:w="5278" w:type="dxa"/>
          </w:tcPr>
          <w:p w14:paraId="73BAC53E">
            <w:pPr>
              <w:pStyle w:val="14"/>
              <w:pBdr>
                <w:top w:val="none" w:color="auto" w:sz="0" w:space="0"/>
                <w:left w:val="none" w:color="auto" w:sz="0" w:space="0"/>
                <w:bottom w:val="none" w:color="auto" w:sz="0" w:space="0"/>
                <w:right w:val="none" w:color="auto" w:sz="0" w:space="0"/>
                <w:between w:val="none" w:color="auto" w:sz="0" w:space="0"/>
              </w:pBdr>
              <w:spacing w:after="0"/>
              <w:ind w:right="-158"/>
              <w:jc w:val="center"/>
              <w:rPr>
                <w:b/>
                <w:bCs/>
                <w:color w:val="auto"/>
                <w:sz w:val="28"/>
                <w:szCs w:val="28"/>
                <w:highlight w:val="none"/>
                <w:lang w:val="vi-VN"/>
              </w:rPr>
            </w:pPr>
            <w:r>
              <w:rPr>
                <w:b/>
                <w:bCs/>
                <w:color w:val="auto"/>
                <w:sz w:val="28"/>
                <w:szCs w:val="28"/>
                <w:highlight w:val="none"/>
              </w:rPr>
              <w:t>KT.</w:t>
            </w:r>
            <w:r>
              <w:rPr>
                <w:b/>
                <w:bCs/>
                <w:color w:val="auto"/>
                <w:sz w:val="28"/>
                <w:szCs w:val="28"/>
                <w:highlight w:val="none"/>
                <w:lang w:val="vi-VN"/>
              </w:rPr>
              <w:t>GIÁM ĐỐC</w:t>
            </w:r>
          </w:p>
          <w:p w14:paraId="4B05D1F0">
            <w:pPr>
              <w:pStyle w:val="14"/>
              <w:pBdr>
                <w:top w:val="none" w:color="auto" w:sz="0" w:space="0"/>
                <w:left w:val="none" w:color="auto" w:sz="0" w:space="0"/>
                <w:bottom w:val="none" w:color="auto" w:sz="0" w:space="0"/>
                <w:right w:val="none" w:color="auto" w:sz="0" w:space="0"/>
                <w:between w:val="none" w:color="auto" w:sz="0" w:space="0"/>
              </w:pBdr>
              <w:spacing w:after="0"/>
              <w:ind w:right="-158"/>
              <w:jc w:val="center"/>
              <w:rPr>
                <w:b/>
                <w:bCs/>
                <w:color w:val="auto"/>
                <w:sz w:val="28"/>
                <w:szCs w:val="28"/>
                <w:highlight w:val="none"/>
              </w:rPr>
            </w:pPr>
            <w:r>
              <w:rPr>
                <w:b/>
                <w:bCs/>
                <w:color w:val="auto"/>
                <w:sz w:val="28"/>
                <w:szCs w:val="28"/>
                <w:highlight w:val="none"/>
              </w:rPr>
              <w:t>PHÓ GIÁM ĐỐC</w:t>
            </w:r>
          </w:p>
          <w:p w14:paraId="126CF83B">
            <w:pPr>
              <w:pStyle w:val="14"/>
              <w:pBdr>
                <w:top w:val="none" w:color="auto" w:sz="0" w:space="0"/>
                <w:left w:val="none" w:color="auto" w:sz="0" w:space="0"/>
                <w:bottom w:val="none" w:color="auto" w:sz="0" w:space="0"/>
                <w:right w:val="none" w:color="auto" w:sz="0" w:space="0"/>
                <w:between w:val="none" w:color="auto" w:sz="0" w:space="0"/>
              </w:pBdr>
              <w:spacing w:after="0"/>
              <w:ind w:right="-158"/>
              <w:jc w:val="center"/>
              <w:rPr>
                <w:b/>
                <w:color w:val="auto"/>
                <w:sz w:val="28"/>
                <w:szCs w:val="28"/>
                <w:highlight w:val="none"/>
                <w:lang w:val="vi-VN"/>
              </w:rPr>
            </w:pPr>
          </w:p>
          <w:p w14:paraId="76C8A83C">
            <w:pPr>
              <w:pStyle w:val="14"/>
              <w:pBdr>
                <w:top w:val="none" w:color="auto" w:sz="0" w:space="0"/>
                <w:left w:val="none" w:color="auto" w:sz="0" w:space="0"/>
                <w:bottom w:val="none" w:color="auto" w:sz="0" w:space="0"/>
                <w:right w:val="none" w:color="auto" w:sz="0" w:space="0"/>
                <w:between w:val="none" w:color="auto" w:sz="0" w:space="0"/>
              </w:pBdr>
              <w:spacing w:after="0"/>
              <w:ind w:right="-158"/>
              <w:jc w:val="center"/>
              <w:rPr>
                <w:b/>
                <w:color w:val="auto"/>
                <w:sz w:val="28"/>
                <w:szCs w:val="28"/>
                <w:highlight w:val="none"/>
                <w:lang w:val="vi-VN"/>
              </w:rPr>
            </w:pPr>
          </w:p>
          <w:p w14:paraId="24D2BAE5">
            <w:pPr>
              <w:pStyle w:val="14"/>
              <w:pBdr>
                <w:top w:val="none" w:color="auto" w:sz="0" w:space="0"/>
                <w:left w:val="none" w:color="auto" w:sz="0" w:space="0"/>
                <w:bottom w:val="none" w:color="auto" w:sz="0" w:space="0"/>
                <w:right w:val="none" w:color="auto" w:sz="0" w:space="0"/>
                <w:between w:val="none" w:color="auto" w:sz="0" w:space="0"/>
              </w:pBdr>
              <w:spacing w:after="0"/>
              <w:ind w:right="-158"/>
              <w:jc w:val="center"/>
              <w:rPr>
                <w:b/>
                <w:color w:val="auto"/>
                <w:sz w:val="28"/>
                <w:szCs w:val="28"/>
                <w:highlight w:val="none"/>
                <w:lang w:val="vi-VN"/>
              </w:rPr>
            </w:pPr>
          </w:p>
          <w:p w14:paraId="3C3559CD">
            <w:pPr>
              <w:pStyle w:val="14"/>
              <w:pBdr>
                <w:top w:val="none" w:color="auto" w:sz="0" w:space="0"/>
                <w:left w:val="none" w:color="auto" w:sz="0" w:space="0"/>
                <w:bottom w:val="none" w:color="auto" w:sz="0" w:space="0"/>
                <w:right w:val="none" w:color="auto" w:sz="0" w:space="0"/>
                <w:between w:val="none" w:color="auto" w:sz="0" w:space="0"/>
              </w:pBdr>
              <w:spacing w:after="0"/>
              <w:ind w:right="-158"/>
              <w:jc w:val="center"/>
              <w:rPr>
                <w:b/>
                <w:color w:val="auto"/>
                <w:sz w:val="28"/>
                <w:szCs w:val="28"/>
                <w:highlight w:val="none"/>
                <w:lang w:val="vi-VN"/>
              </w:rPr>
            </w:pPr>
          </w:p>
          <w:p w14:paraId="5183DCA3">
            <w:pPr>
              <w:pStyle w:val="14"/>
              <w:pBdr>
                <w:top w:val="none" w:color="auto" w:sz="0" w:space="0"/>
                <w:left w:val="none" w:color="auto" w:sz="0" w:space="0"/>
                <w:bottom w:val="none" w:color="auto" w:sz="0" w:space="0"/>
                <w:right w:val="none" w:color="auto" w:sz="0" w:space="0"/>
                <w:between w:val="none" w:color="auto" w:sz="0" w:space="0"/>
              </w:pBdr>
              <w:spacing w:after="0"/>
              <w:ind w:right="-158"/>
              <w:rPr>
                <w:b/>
                <w:color w:val="auto"/>
                <w:sz w:val="28"/>
                <w:szCs w:val="28"/>
                <w:highlight w:val="none"/>
                <w:lang w:val="vi-VN"/>
              </w:rPr>
            </w:pPr>
          </w:p>
          <w:p w14:paraId="26EA9DBA">
            <w:pPr>
              <w:pStyle w:val="14"/>
              <w:pBdr>
                <w:top w:val="none" w:color="auto" w:sz="0" w:space="0"/>
                <w:left w:val="none" w:color="auto" w:sz="0" w:space="0"/>
                <w:bottom w:val="none" w:color="auto" w:sz="0" w:space="0"/>
                <w:right w:val="none" w:color="auto" w:sz="0" w:space="0"/>
                <w:between w:val="none" w:color="auto" w:sz="0" w:space="0"/>
              </w:pBdr>
              <w:spacing w:after="0"/>
              <w:ind w:right="-158"/>
              <w:jc w:val="center"/>
              <w:rPr>
                <w:b/>
                <w:bCs/>
                <w:color w:val="auto"/>
                <w:sz w:val="28"/>
                <w:szCs w:val="28"/>
                <w:highlight w:val="none"/>
              </w:rPr>
            </w:pPr>
            <w:r>
              <w:rPr>
                <w:b/>
                <w:bCs/>
                <w:color w:val="auto"/>
                <w:sz w:val="28"/>
                <w:szCs w:val="28"/>
                <w:highlight w:val="none"/>
              </w:rPr>
              <w:t>Phan Lạc Hoài Thanh</w:t>
            </w:r>
          </w:p>
        </w:tc>
      </w:tr>
    </w:tbl>
    <w:p w14:paraId="76204413">
      <w:pPr>
        <w:pBdr>
          <w:top w:val="none" w:color="auto" w:sz="0" w:space="0"/>
          <w:left w:val="none" w:color="auto" w:sz="0" w:space="0"/>
          <w:bottom w:val="none" w:color="auto" w:sz="0" w:space="0"/>
          <w:right w:val="none" w:color="auto" w:sz="0" w:space="0"/>
          <w:between w:val="none" w:color="auto" w:sz="0" w:space="0"/>
        </w:pBdr>
        <w:rPr>
          <w:color w:val="auto"/>
          <w:sz w:val="28"/>
          <w:szCs w:val="28"/>
          <w:highlight w:val="none"/>
        </w:rPr>
      </w:pPr>
    </w:p>
    <w:sectPr>
      <w:headerReference r:id="rId4" w:type="default"/>
      <w:footerReference r:id="rId5" w:type="even"/>
      <w:pgSz w:w="11909" w:h="16834"/>
      <w:pgMar w:top="993" w:right="1134" w:bottom="1135" w:left="1701" w:header="720" w:footer="720" w:gutter="0"/>
      <w:pgNumType w:start="1"/>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A1F71">
    <w:pPr>
      <w:pStyle w:val="18"/>
      <w:framePr w:wrap="around" w:vAnchor="text" w:hAnchor="margin" w:xAlign="right" w:y="1"/>
      <w:pBdr>
        <w:top w:val="none" w:color="auto" w:sz="0" w:space="0"/>
        <w:left w:val="none" w:color="auto" w:sz="0" w:space="0"/>
        <w:bottom w:val="none" w:color="auto" w:sz="0" w:space="0"/>
        <w:right w:val="none" w:color="auto" w:sz="0" w:space="0"/>
        <w:between w:val="none" w:color="auto" w:sz="0" w:space="0"/>
      </w:pBdr>
      <w:rPr>
        <w:rStyle w:val="24"/>
      </w:rPr>
    </w:pPr>
    <w:r>
      <w:rPr>
        <w:rStyle w:val="24"/>
      </w:rPr>
      <w:fldChar w:fldCharType="begin"/>
    </w:r>
    <w:r>
      <w:rPr>
        <w:rStyle w:val="24"/>
      </w:rPr>
      <w:instrText xml:space="preserve">PAGE  </w:instrText>
    </w:r>
    <w:r>
      <w:rPr>
        <w:rStyle w:val="24"/>
      </w:rPr>
      <w:fldChar w:fldCharType="end"/>
    </w:r>
  </w:p>
  <w:p w14:paraId="548C9028">
    <w:pPr>
      <w:pStyle w:val="18"/>
      <w:pBdr>
        <w:top w:val="none" w:color="auto" w:sz="0" w:space="0"/>
        <w:left w:val="none" w:color="auto" w:sz="0" w:space="0"/>
        <w:bottom w:val="none" w:color="auto" w:sz="0" w:space="0"/>
        <w:right w:val="none" w:color="auto" w:sz="0" w:space="0"/>
        <w:between w:val="none" w:color="auto" w:sz="0" w:space="0"/>
      </w:pBd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4F6C1467">
      <w:pPr>
        <w:pStyle w:val="20"/>
        <w:snapToGrid w:val="0"/>
        <w:rPr>
          <w:rFonts w:hint="default" w:ascii="Times New Roman" w:hAnsi="Times New Roman" w:cs="Times New Roman"/>
          <w:sz w:val="20"/>
          <w:szCs w:val="20"/>
          <w:lang w:val="en-US"/>
        </w:rPr>
      </w:pPr>
      <w:r>
        <w:rPr>
          <w:rStyle w:val="19"/>
        </w:rPr>
        <w:footnoteRef/>
      </w:r>
      <w:r>
        <w:t xml:space="preserve"> </w:t>
      </w:r>
      <w:r>
        <w:rPr>
          <w:rFonts w:hint="default" w:ascii="Times New Roman" w:hAnsi="Times New Roman" w:cs="Times New Roman"/>
          <w:sz w:val="20"/>
          <w:szCs w:val="20"/>
          <w:lang w:val="en-US"/>
        </w:rPr>
        <w:t>Nghị quyết số 21-NQ/TW của Trung ương.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5FF90">
    <w:pPr>
      <w:pStyle w:val="21"/>
      <w:pBdr>
        <w:top w:val="none" w:color="auto" w:sz="0" w:space="0"/>
        <w:left w:val="none" w:color="auto" w:sz="0" w:space="0"/>
        <w:bottom w:val="none" w:color="auto" w:sz="0" w:space="0"/>
        <w:right w:val="none" w:color="auto" w:sz="0" w:space="0"/>
        <w:between w:val="none" w:color="auto" w:sz="0" w:space="0"/>
      </w:pBdr>
      <w:jc w:val="center"/>
    </w:pPr>
    <w:r>
      <w:fldChar w:fldCharType="begin"/>
    </w:r>
    <w:r>
      <w:instrText xml:space="preserve"> PAGE   \* MERGEFORMAT </w:instrText>
    </w:r>
    <w:r>
      <w:fldChar w:fldCharType="separate"/>
    </w:r>
    <w:r>
      <w:t>2</w:t>
    </w:r>
    <w:r>
      <w:fldChar w:fldCharType="end"/>
    </w:r>
  </w:p>
  <w:p w14:paraId="4BF81126">
    <w:pPr>
      <w:pStyle w:val="21"/>
      <w:pBdr>
        <w:top w:val="none" w:color="auto" w:sz="0" w:space="0"/>
        <w:left w:val="none" w:color="auto" w:sz="0" w:space="0"/>
        <w:bottom w:val="none" w:color="auto" w:sz="0" w:space="0"/>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CF85FF"/>
    <w:multiLevelType w:val="singleLevel"/>
    <w:tmpl w:val="C3CF85FF"/>
    <w:lvl w:ilvl="0" w:tentative="0">
      <w:start w:val="1"/>
      <w:numFmt w:val="decimal"/>
      <w:suff w:val="space"/>
      <w:lvlText w:val="%1."/>
      <w:lvlJc w:val="left"/>
    </w:lvl>
  </w:abstractNum>
  <w:abstractNum w:abstractNumId="1">
    <w:nsid w:val="35349CDA"/>
    <w:multiLevelType w:val="singleLevel"/>
    <w:tmpl w:val="35349CDA"/>
    <w:lvl w:ilvl="0" w:tentative="0">
      <w:start w:val="1"/>
      <w:numFmt w:val="lowerLetter"/>
      <w:suff w:val="space"/>
      <w:lvlText w:val="%1)"/>
      <w:lvlJc w:val="left"/>
    </w:lvl>
  </w:abstractNum>
  <w:abstractNum w:abstractNumId="2">
    <w:nsid w:val="3934E6E9"/>
    <w:multiLevelType w:val="singleLevel"/>
    <w:tmpl w:val="3934E6E9"/>
    <w:lvl w:ilvl="0" w:tentative="0">
      <w:start w:val="1"/>
      <w:numFmt w:val="decimal"/>
      <w:suff w:val="space"/>
      <w:lvlText w:val="%1."/>
      <w:lvlJc w:val="left"/>
    </w:lvl>
  </w:abstractNum>
  <w:abstractNum w:abstractNumId="3">
    <w:nsid w:val="4E5EB681"/>
    <w:multiLevelType w:val="singleLevel"/>
    <w:tmpl w:val="4E5EB681"/>
    <w:lvl w:ilvl="0" w:tentative="0">
      <w:start w:val="1"/>
      <w:numFmt w:val="decimal"/>
      <w:suff w:val="space"/>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B0A"/>
    <w:rsid w:val="00003A20"/>
    <w:rsid w:val="00005E68"/>
    <w:rsid w:val="00006BAB"/>
    <w:rsid w:val="00010F8C"/>
    <w:rsid w:val="000117A1"/>
    <w:rsid w:val="0001268E"/>
    <w:rsid w:val="0001448E"/>
    <w:rsid w:val="00015B19"/>
    <w:rsid w:val="00017F1E"/>
    <w:rsid w:val="00023874"/>
    <w:rsid w:val="000258A4"/>
    <w:rsid w:val="00042E91"/>
    <w:rsid w:val="00047976"/>
    <w:rsid w:val="0005553C"/>
    <w:rsid w:val="00060220"/>
    <w:rsid w:val="00060540"/>
    <w:rsid w:val="000608ED"/>
    <w:rsid w:val="0006115B"/>
    <w:rsid w:val="0006292A"/>
    <w:rsid w:val="0007063A"/>
    <w:rsid w:val="0007226F"/>
    <w:rsid w:val="000824DC"/>
    <w:rsid w:val="0009106B"/>
    <w:rsid w:val="00093A49"/>
    <w:rsid w:val="000A38F0"/>
    <w:rsid w:val="000B2714"/>
    <w:rsid w:val="000B4973"/>
    <w:rsid w:val="000B4EA0"/>
    <w:rsid w:val="000D0169"/>
    <w:rsid w:val="000D32B8"/>
    <w:rsid w:val="000D36CC"/>
    <w:rsid w:val="000D685F"/>
    <w:rsid w:val="000E15C3"/>
    <w:rsid w:val="000E1773"/>
    <w:rsid w:val="000E2412"/>
    <w:rsid w:val="000E4D44"/>
    <w:rsid w:val="000E5F3E"/>
    <w:rsid w:val="000F2719"/>
    <w:rsid w:val="000F2F57"/>
    <w:rsid w:val="001002FE"/>
    <w:rsid w:val="00101007"/>
    <w:rsid w:val="00101C45"/>
    <w:rsid w:val="001038C3"/>
    <w:rsid w:val="0011416A"/>
    <w:rsid w:val="001162CD"/>
    <w:rsid w:val="00133044"/>
    <w:rsid w:val="0013400B"/>
    <w:rsid w:val="001348D5"/>
    <w:rsid w:val="00137F93"/>
    <w:rsid w:val="001418AE"/>
    <w:rsid w:val="00142B63"/>
    <w:rsid w:val="00145BEE"/>
    <w:rsid w:val="00147D6D"/>
    <w:rsid w:val="00160F3B"/>
    <w:rsid w:val="00161063"/>
    <w:rsid w:val="0016119C"/>
    <w:rsid w:val="0016414F"/>
    <w:rsid w:val="0017059E"/>
    <w:rsid w:val="0017775E"/>
    <w:rsid w:val="001805CB"/>
    <w:rsid w:val="00181900"/>
    <w:rsid w:val="00183431"/>
    <w:rsid w:val="00183833"/>
    <w:rsid w:val="00186CDA"/>
    <w:rsid w:val="001965F5"/>
    <w:rsid w:val="00197EAA"/>
    <w:rsid w:val="001A03CE"/>
    <w:rsid w:val="001B62DF"/>
    <w:rsid w:val="001B6FEE"/>
    <w:rsid w:val="001C0829"/>
    <w:rsid w:val="001C56F0"/>
    <w:rsid w:val="001D103A"/>
    <w:rsid w:val="001D199B"/>
    <w:rsid w:val="001D4EB0"/>
    <w:rsid w:val="001E19CE"/>
    <w:rsid w:val="001E47CB"/>
    <w:rsid w:val="001E6A15"/>
    <w:rsid w:val="001F65C9"/>
    <w:rsid w:val="0020193A"/>
    <w:rsid w:val="00204792"/>
    <w:rsid w:val="002146D1"/>
    <w:rsid w:val="00220311"/>
    <w:rsid w:val="00224FC2"/>
    <w:rsid w:val="00230F4B"/>
    <w:rsid w:val="002335D3"/>
    <w:rsid w:val="00233C45"/>
    <w:rsid w:val="002365D9"/>
    <w:rsid w:val="00236689"/>
    <w:rsid w:val="00246472"/>
    <w:rsid w:val="00246554"/>
    <w:rsid w:val="002513BB"/>
    <w:rsid w:val="00255C61"/>
    <w:rsid w:val="0025744C"/>
    <w:rsid w:val="002575BF"/>
    <w:rsid w:val="00261E13"/>
    <w:rsid w:val="0026262E"/>
    <w:rsid w:val="0026572A"/>
    <w:rsid w:val="002705E6"/>
    <w:rsid w:val="0027194B"/>
    <w:rsid w:val="0027619E"/>
    <w:rsid w:val="00283721"/>
    <w:rsid w:val="002975F6"/>
    <w:rsid w:val="002A3B49"/>
    <w:rsid w:val="002A4F8F"/>
    <w:rsid w:val="002A769E"/>
    <w:rsid w:val="002A7853"/>
    <w:rsid w:val="002B6DA5"/>
    <w:rsid w:val="002C0808"/>
    <w:rsid w:val="002C2C9B"/>
    <w:rsid w:val="002C6E30"/>
    <w:rsid w:val="002C77DE"/>
    <w:rsid w:val="002D17B2"/>
    <w:rsid w:val="002D3876"/>
    <w:rsid w:val="002E0FA5"/>
    <w:rsid w:val="002E1E34"/>
    <w:rsid w:val="002E29B7"/>
    <w:rsid w:val="002E2F9C"/>
    <w:rsid w:val="002E42AF"/>
    <w:rsid w:val="002E63E3"/>
    <w:rsid w:val="002F0AEB"/>
    <w:rsid w:val="002F688E"/>
    <w:rsid w:val="002F6CC5"/>
    <w:rsid w:val="00302390"/>
    <w:rsid w:val="0030425F"/>
    <w:rsid w:val="00307640"/>
    <w:rsid w:val="003107FF"/>
    <w:rsid w:val="00313721"/>
    <w:rsid w:val="00313930"/>
    <w:rsid w:val="00313B65"/>
    <w:rsid w:val="00315590"/>
    <w:rsid w:val="0031620A"/>
    <w:rsid w:val="00321F4A"/>
    <w:rsid w:val="0032368E"/>
    <w:rsid w:val="00323720"/>
    <w:rsid w:val="003238FF"/>
    <w:rsid w:val="0032401D"/>
    <w:rsid w:val="00330E46"/>
    <w:rsid w:val="00334686"/>
    <w:rsid w:val="00345C68"/>
    <w:rsid w:val="00346335"/>
    <w:rsid w:val="003541AA"/>
    <w:rsid w:val="00356672"/>
    <w:rsid w:val="00360AAB"/>
    <w:rsid w:val="00361061"/>
    <w:rsid w:val="003668DE"/>
    <w:rsid w:val="00366BF8"/>
    <w:rsid w:val="00370AFF"/>
    <w:rsid w:val="00380F90"/>
    <w:rsid w:val="003831A0"/>
    <w:rsid w:val="003839DA"/>
    <w:rsid w:val="00383D75"/>
    <w:rsid w:val="0039175A"/>
    <w:rsid w:val="0039211E"/>
    <w:rsid w:val="003957B1"/>
    <w:rsid w:val="003A38FD"/>
    <w:rsid w:val="003B16A2"/>
    <w:rsid w:val="003B71DB"/>
    <w:rsid w:val="003B7D7A"/>
    <w:rsid w:val="003C0FA8"/>
    <w:rsid w:val="003C4167"/>
    <w:rsid w:val="003C566A"/>
    <w:rsid w:val="003C7A9A"/>
    <w:rsid w:val="003D05A8"/>
    <w:rsid w:val="003D17EC"/>
    <w:rsid w:val="003D42D8"/>
    <w:rsid w:val="003D4658"/>
    <w:rsid w:val="003D5F2C"/>
    <w:rsid w:val="003D729A"/>
    <w:rsid w:val="003E2D5D"/>
    <w:rsid w:val="003E4361"/>
    <w:rsid w:val="003F673E"/>
    <w:rsid w:val="0040467E"/>
    <w:rsid w:val="00407005"/>
    <w:rsid w:val="00411101"/>
    <w:rsid w:val="00413771"/>
    <w:rsid w:val="00416774"/>
    <w:rsid w:val="00416B23"/>
    <w:rsid w:val="00424068"/>
    <w:rsid w:val="00424B3E"/>
    <w:rsid w:val="00425D51"/>
    <w:rsid w:val="004268EF"/>
    <w:rsid w:val="004270FD"/>
    <w:rsid w:val="00430B99"/>
    <w:rsid w:val="00435165"/>
    <w:rsid w:val="004375D5"/>
    <w:rsid w:val="004378C5"/>
    <w:rsid w:val="00443F48"/>
    <w:rsid w:val="00450289"/>
    <w:rsid w:val="004512C7"/>
    <w:rsid w:val="0045570F"/>
    <w:rsid w:val="00460BE0"/>
    <w:rsid w:val="004621EE"/>
    <w:rsid w:val="00462FC8"/>
    <w:rsid w:val="00464432"/>
    <w:rsid w:val="004662FE"/>
    <w:rsid w:val="004732A4"/>
    <w:rsid w:val="004745DC"/>
    <w:rsid w:val="00480437"/>
    <w:rsid w:val="00481270"/>
    <w:rsid w:val="00482D8B"/>
    <w:rsid w:val="00487A68"/>
    <w:rsid w:val="004A7826"/>
    <w:rsid w:val="004B6BAA"/>
    <w:rsid w:val="004C47A2"/>
    <w:rsid w:val="004C51A7"/>
    <w:rsid w:val="004C691E"/>
    <w:rsid w:val="004D107D"/>
    <w:rsid w:val="004D56FB"/>
    <w:rsid w:val="004E19C4"/>
    <w:rsid w:val="004E62E1"/>
    <w:rsid w:val="004E6705"/>
    <w:rsid w:val="004E7927"/>
    <w:rsid w:val="00501CE1"/>
    <w:rsid w:val="005159BB"/>
    <w:rsid w:val="00516486"/>
    <w:rsid w:val="005216BD"/>
    <w:rsid w:val="00527E6E"/>
    <w:rsid w:val="00530825"/>
    <w:rsid w:val="0054057B"/>
    <w:rsid w:val="00544FC2"/>
    <w:rsid w:val="00546244"/>
    <w:rsid w:val="00550AA5"/>
    <w:rsid w:val="0055296F"/>
    <w:rsid w:val="00554423"/>
    <w:rsid w:val="00554E50"/>
    <w:rsid w:val="00562439"/>
    <w:rsid w:val="0056324A"/>
    <w:rsid w:val="0056382F"/>
    <w:rsid w:val="005663A0"/>
    <w:rsid w:val="00574D7C"/>
    <w:rsid w:val="00585F09"/>
    <w:rsid w:val="00592704"/>
    <w:rsid w:val="00596CD6"/>
    <w:rsid w:val="005A3E24"/>
    <w:rsid w:val="005B71DC"/>
    <w:rsid w:val="005C5142"/>
    <w:rsid w:val="005D2708"/>
    <w:rsid w:val="005E1455"/>
    <w:rsid w:val="005E30BF"/>
    <w:rsid w:val="005F3CFA"/>
    <w:rsid w:val="005F58BD"/>
    <w:rsid w:val="00600A0E"/>
    <w:rsid w:val="00604FB4"/>
    <w:rsid w:val="00613802"/>
    <w:rsid w:val="0062048B"/>
    <w:rsid w:val="0062235B"/>
    <w:rsid w:val="0063240F"/>
    <w:rsid w:val="0063244E"/>
    <w:rsid w:val="006325E3"/>
    <w:rsid w:val="00633052"/>
    <w:rsid w:val="00635537"/>
    <w:rsid w:val="006420C3"/>
    <w:rsid w:val="00643299"/>
    <w:rsid w:val="00645CFF"/>
    <w:rsid w:val="006500B5"/>
    <w:rsid w:val="00650321"/>
    <w:rsid w:val="00656843"/>
    <w:rsid w:val="0065759D"/>
    <w:rsid w:val="00657903"/>
    <w:rsid w:val="00657E9E"/>
    <w:rsid w:val="00661191"/>
    <w:rsid w:val="006615FE"/>
    <w:rsid w:val="0066200E"/>
    <w:rsid w:val="00664FFA"/>
    <w:rsid w:val="00666702"/>
    <w:rsid w:val="00671801"/>
    <w:rsid w:val="00672042"/>
    <w:rsid w:val="006814C1"/>
    <w:rsid w:val="006852FE"/>
    <w:rsid w:val="0069269B"/>
    <w:rsid w:val="006A6892"/>
    <w:rsid w:val="006B3EEC"/>
    <w:rsid w:val="006B6220"/>
    <w:rsid w:val="006B6DAD"/>
    <w:rsid w:val="006B70A6"/>
    <w:rsid w:val="006C1B4B"/>
    <w:rsid w:val="006C261F"/>
    <w:rsid w:val="006C2A45"/>
    <w:rsid w:val="006C47AE"/>
    <w:rsid w:val="006E00AE"/>
    <w:rsid w:val="006E26F9"/>
    <w:rsid w:val="006E3061"/>
    <w:rsid w:val="006E6AC9"/>
    <w:rsid w:val="006F5115"/>
    <w:rsid w:val="006F5843"/>
    <w:rsid w:val="00700A77"/>
    <w:rsid w:val="007012A5"/>
    <w:rsid w:val="00715184"/>
    <w:rsid w:val="00716DD5"/>
    <w:rsid w:val="007200B0"/>
    <w:rsid w:val="00720930"/>
    <w:rsid w:val="00733DEF"/>
    <w:rsid w:val="0074271E"/>
    <w:rsid w:val="00742BDE"/>
    <w:rsid w:val="007502AA"/>
    <w:rsid w:val="00755F5A"/>
    <w:rsid w:val="007613DE"/>
    <w:rsid w:val="0076281E"/>
    <w:rsid w:val="00762B52"/>
    <w:rsid w:val="0076308B"/>
    <w:rsid w:val="00765CAB"/>
    <w:rsid w:val="00765E15"/>
    <w:rsid w:val="00766C3F"/>
    <w:rsid w:val="00767CE0"/>
    <w:rsid w:val="00771E19"/>
    <w:rsid w:val="00772DD9"/>
    <w:rsid w:val="0077420C"/>
    <w:rsid w:val="00777C78"/>
    <w:rsid w:val="00795249"/>
    <w:rsid w:val="007A0FD0"/>
    <w:rsid w:val="007A2DA2"/>
    <w:rsid w:val="007A3F32"/>
    <w:rsid w:val="007A5FC1"/>
    <w:rsid w:val="007B0133"/>
    <w:rsid w:val="007B0B60"/>
    <w:rsid w:val="007B0C1B"/>
    <w:rsid w:val="007B2749"/>
    <w:rsid w:val="007B2CB6"/>
    <w:rsid w:val="007B513B"/>
    <w:rsid w:val="007C147E"/>
    <w:rsid w:val="007C57F3"/>
    <w:rsid w:val="007D028C"/>
    <w:rsid w:val="007D361D"/>
    <w:rsid w:val="007D4455"/>
    <w:rsid w:val="007D4F2F"/>
    <w:rsid w:val="007E5771"/>
    <w:rsid w:val="007E73F3"/>
    <w:rsid w:val="007F3795"/>
    <w:rsid w:val="007F3F7F"/>
    <w:rsid w:val="007F4F80"/>
    <w:rsid w:val="00813527"/>
    <w:rsid w:val="00816966"/>
    <w:rsid w:val="00841033"/>
    <w:rsid w:val="0084126D"/>
    <w:rsid w:val="008440F2"/>
    <w:rsid w:val="00851DF1"/>
    <w:rsid w:val="00852FDB"/>
    <w:rsid w:val="00860C32"/>
    <w:rsid w:val="008616E7"/>
    <w:rsid w:val="00867A16"/>
    <w:rsid w:val="00883920"/>
    <w:rsid w:val="00884F7D"/>
    <w:rsid w:val="008862A4"/>
    <w:rsid w:val="00893380"/>
    <w:rsid w:val="008A3ACB"/>
    <w:rsid w:val="008B415E"/>
    <w:rsid w:val="008C1379"/>
    <w:rsid w:val="008C298C"/>
    <w:rsid w:val="008D042C"/>
    <w:rsid w:val="008D46F6"/>
    <w:rsid w:val="008E05EB"/>
    <w:rsid w:val="008E39BE"/>
    <w:rsid w:val="008F1C55"/>
    <w:rsid w:val="0090100A"/>
    <w:rsid w:val="009067DD"/>
    <w:rsid w:val="0090688F"/>
    <w:rsid w:val="00915520"/>
    <w:rsid w:val="009168E5"/>
    <w:rsid w:val="009174FF"/>
    <w:rsid w:val="00925E60"/>
    <w:rsid w:val="00930C0C"/>
    <w:rsid w:val="0094753B"/>
    <w:rsid w:val="009529CF"/>
    <w:rsid w:val="0095708B"/>
    <w:rsid w:val="009601D3"/>
    <w:rsid w:val="00962C09"/>
    <w:rsid w:val="00964ACC"/>
    <w:rsid w:val="0096659A"/>
    <w:rsid w:val="00967D0F"/>
    <w:rsid w:val="009730CE"/>
    <w:rsid w:val="0097549E"/>
    <w:rsid w:val="009759F7"/>
    <w:rsid w:val="00986BFF"/>
    <w:rsid w:val="009874AC"/>
    <w:rsid w:val="00996BC9"/>
    <w:rsid w:val="009976C6"/>
    <w:rsid w:val="009A1CF0"/>
    <w:rsid w:val="009A4053"/>
    <w:rsid w:val="009A503A"/>
    <w:rsid w:val="009B2BA1"/>
    <w:rsid w:val="009B68B4"/>
    <w:rsid w:val="009B7CAE"/>
    <w:rsid w:val="009C46F8"/>
    <w:rsid w:val="009D56B9"/>
    <w:rsid w:val="009E092A"/>
    <w:rsid w:val="009E7421"/>
    <w:rsid w:val="009E7746"/>
    <w:rsid w:val="009F4585"/>
    <w:rsid w:val="009F5287"/>
    <w:rsid w:val="00A005BD"/>
    <w:rsid w:val="00A03797"/>
    <w:rsid w:val="00A07536"/>
    <w:rsid w:val="00A10C11"/>
    <w:rsid w:val="00A10C64"/>
    <w:rsid w:val="00A16E89"/>
    <w:rsid w:val="00A221E1"/>
    <w:rsid w:val="00A23057"/>
    <w:rsid w:val="00A233FB"/>
    <w:rsid w:val="00A234D2"/>
    <w:rsid w:val="00A239E5"/>
    <w:rsid w:val="00A2579A"/>
    <w:rsid w:val="00A31949"/>
    <w:rsid w:val="00A340A2"/>
    <w:rsid w:val="00A35EA1"/>
    <w:rsid w:val="00A36BC6"/>
    <w:rsid w:val="00A41150"/>
    <w:rsid w:val="00A42DE2"/>
    <w:rsid w:val="00A5749E"/>
    <w:rsid w:val="00A62B67"/>
    <w:rsid w:val="00A72C6B"/>
    <w:rsid w:val="00A80746"/>
    <w:rsid w:val="00A815F8"/>
    <w:rsid w:val="00A8561B"/>
    <w:rsid w:val="00A86096"/>
    <w:rsid w:val="00A87C67"/>
    <w:rsid w:val="00A90D12"/>
    <w:rsid w:val="00A93C73"/>
    <w:rsid w:val="00A9535D"/>
    <w:rsid w:val="00A95676"/>
    <w:rsid w:val="00AA30B8"/>
    <w:rsid w:val="00AA6965"/>
    <w:rsid w:val="00AB0A38"/>
    <w:rsid w:val="00AB2E30"/>
    <w:rsid w:val="00AB5FA2"/>
    <w:rsid w:val="00AC53C6"/>
    <w:rsid w:val="00AD3361"/>
    <w:rsid w:val="00AD5234"/>
    <w:rsid w:val="00AE183F"/>
    <w:rsid w:val="00AE1AB8"/>
    <w:rsid w:val="00AE1ACE"/>
    <w:rsid w:val="00AE1BA2"/>
    <w:rsid w:val="00AE276D"/>
    <w:rsid w:val="00AE5B6B"/>
    <w:rsid w:val="00AF2ED2"/>
    <w:rsid w:val="00B068BF"/>
    <w:rsid w:val="00B20363"/>
    <w:rsid w:val="00B235B6"/>
    <w:rsid w:val="00B26CF9"/>
    <w:rsid w:val="00B328DF"/>
    <w:rsid w:val="00B35E8D"/>
    <w:rsid w:val="00B3643D"/>
    <w:rsid w:val="00B433B4"/>
    <w:rsid w:val="00B44A56"/>
    <w:rsid w:val="00B47A31"/>
    <w:rsid w:val="00B52072"/>
    <w:rsid w:val="00B53EE3"/>
    <w:rsid w:val="00B74705"/>
    <w:rsid w:val="00B75298"/>
    <w:rsid w:val="00B75FE1"/>
    <w:rsid w:val="00B8695C"/>
    <w:rsid w:val="00B9037A"/>
    <w:rsid w:val="00B9075D"/>
    <w:rsid w:val="00B92D05"/>
    <w:rsid w:val="00B9513A"/>
    <w:rsid w:val="00BA0ED6"/>
    <w:rsid w:val="00BA7C56"/>
    <w:rsid w:val="00BB2F4F"/>
    <w:rsid w:val="00BB5A16"/>
    <w:rsid w:val="00BB71E9"/>
    <w:rsid w:val="00BC0D35"/>
    <w:rsid w:val="00BC24EC"/>
    <w:rsid w:val="00BC4152"/>
    <w:rsid w:val="00BC5028"/>
    <w:rsid w:val="00BC5802"/>
    <w:rsid w:val="00BC605F"/>
    <w:rsid w:val="00BC795B"/>
    <w:rsid w:val="00BC7C8F"/>
    <w:rsid w:val="00BD299B"/>
    <w:rsid w:val="00BD34D5"/>
    <w:rsid w:val="00BE08F2"/>
    <w:rsid w:val="00BE1280"/>
    <w:rsid w:val="00BE2B94"/>
    <w:rsid w:val="00BE3A13"/>
    <w:rsid w:val="00BF1529"/>
    <w:rsid w:val="00BF2AFD"/>
    <w:rsid w:val="00BF691C"/>
    <w:rsid w:val="00C015B8"/>
    <w:rsid w:val="00C04182"/>
    <w:rsid w:val="00C048B2"/>
    <w:rsid w:val="00C05F61"/>
    <w:rsid w:val="00C07C8E"/>
    <w:rsid w:val="00C14913"/>
    <w:rsid w:val="00C20516"/>
    <w:rsid w:val="00C20947"/>
    <w:rsid w:val="00C23F60"/>
    <w:rsid w:val="00C24E5A"/>
    <w:rsid w:val="00C3090E"/>
    <w:rsid w:val="00C36643"/>
    <w:rsid w:val="00C41672"/>
    <w:rsid w:val="00C434D6"/>
    <w:rsid w:val="00C45577"/>
    <w:rsid w:val="00C46D52"/>
    <w:rsid w:val="00C47071"/>
    <w:rsid w:val="00C57F20"/>
    <w:rsid w:val="00C611B8"/>
    <w:rsid w:val="00C671E5"/>
    <w:rsid w:val="00C67F2D"/>
    <w:rsid w:val="00C71AA4"/>
    <w:rsid w:val="00C82B60"/>
    <w:rsid w:val="00C87F3A"/>
    <w:rsid w:val="00C946F2"/>
    <w:rsid w:val="00CA4BAE"/>
    <w:rsid w:val="00CB6358"/>
    <w:rsid w:val="00CB6CC1"/>
    <w:rsid w:val="00CC0EFD"/>
    <w:rsid w:val="00CC1E4F"/>
    <w:rsid w:val="00CC2CB0"/>
    <w:rsid w:val="00CC72E3"/>
    <w:rsid w:val="00CD0CB1"/>
    <w:rsid w:val="00CD17E4"/>
    <w:rsid w:val="00CD20C2"/>
    <w:rsid w:val="00CE09AD"/>
    <w:rsid w:val="00CE4F00"/>
    <w:rsid w:val="00CF5E02"/>
    <w:rsid w:val="00CF5EFA"/>
    <w:rsid w:val="00D00B03"/>
    <w:rsid w:val="00D03EB8"/>
    <w:rsid w:val="00D06732"/>
    <w:rsid w:val="00D121AF"/>
    <w:rsid w:val="00D17C79"/>
    <w:rsid w:val="00D21B32"/>
    <w:rsid w:val="00D226F5"/>
    <w:rsid w:val="00D22BD6"/>
    <w:rsid w:val="00D278C7"/>
    <w:rsid w:val="00D27C58"/>
    <w:rsid w:val="00D31F14"/>
    <w:rsid w:val="00D36A56"/>
    <w:rsid w:val="00D46AF6"/>
    <w:rsid w:val="00D5689A"/>
    <w:rsid w:val="00D63355"/>
    <w:rsid w:val="00D64D63"/>
    <w:rsid w:val="00D70419"/>
    <w:rsid w:val="00D73063"/>
    <w:rsid w:val="00D84CB8"/>
    <w:rsid w:val="00D936DE"/>
    <w:rsid w:val="00D93B0A"/>
    <w:rsid w:val="00D94BB2"/>
    <w:rsid w:val="00D953F3"/>
    <w:rsid w:val="00DA3ECA"/>
    <w:rsid w:val="00DA4E24"/>
    <w:rsid w:val="00DA5400"/>
    <w:rsid w:val="00DB710A"/>
    <w:rsid w:val="00DC356B"/>
    <w:rsid w:val="00DC4014"/>
    <w:rsid w:val="00DC58AE"/>
    <w:rsid w:val="00DE3FDC"/>
    <w:rsid w:val="00DE4082"/>
    <w:rsid w:val="00DE6E43"/>
    <w:rsid w:val="00DF766E"/>
    <w:rsid w:val="00E02A22"/>
    <w:rsid w:val="00E04C53"/>
    <w:rsid w:val="00E05182"/>
    <w:rsid w:val="00E149FF"/>
    <w:rsid w:val="00E150AC"/>
    <w:rsid w:val="00E22332"/>
    <w:rsid w:val="00E33292"/>
    <w:rsid w:val="00E355A8"/>
    <w:rsid w:val="00E45956"/>
    <w:rsid w:val="00E47390"/>
    <w:rsid w:val="00E47E0E"/>
    <w:rsid w:val="00E515B0"/>
    <w:rsid w:val="00E536DB"/>
    <w:rsid w:val="00E53C11"/>
    <w:rsid w:val="00E55154"/>
    <w:rsid w:val="00E70B34"/>
    <w:rsid w:val="00E74792"/>
    <w:rsid w:val="00E74B3A"/>
    <w:rsid w:val="00E775C9"/>
    <w:rsid w:val="00E82CC4"/>
    <w:rsid w:val="00E84A77"/>
    <w:rsid w:val="00E936A7"/>
    <w:rsid w:val="00E9634A"/>
    <w:rsid w:val="00E97F76"/>
    <w:rsid w:val="00EA18E5"/>
    <w:rsid w:val="00EA5E31"/>
    <w:rsid w:val="00EA6E71"/>
    <w:rsid w:val="00EA740F"/>
    <w:rsid w:val="00EA7B49"/>
    <w:rsid w:val="00EC4C73"/>
    <w:rsid w:val="00EC5300"/>
    <w:rsid w:val="00ED5AF3"/>
    <w:rsid w:val="00ED77D4"/>
    <w:rsid w:val="00EF42E5"/>
    <w:rsid w:val="00EF75AB"/>
    <w:rsid w:val="00F0023E"/>
    <w:rsid w:val="00F02D9B"/>
    <w:rsid w:val="00F109ED"/>
    <w:rsid w:val="00F11A87"/>
    <w:rsid w:val="00F11BC5"/>
    <w:rsid w:val="00F14961"/>
    <w:rsid w:val="00F32C8C"/>
    <w:rsid w:val="00F34A8E"/>
    <w:rsid w:val="00F46186"/>
    <w:rsid w:val="00F55ECE"/>
    <w:rsid w:val="00F704B7"/>
    <w:rsid w:val="00F713C1"/>
    <w:rsid w:val="00F71497"/>
    <w:rsid w:val="00F725E5"/>
    <w:rsid w:val="00F743E8"/>
    <w:rsid w:val="00F759BF"/>
    <w:rsid w:val="00F80443"/>
    <w:rsid w:val="00F839CB"/>
    <w:rsid w:val="00F83A78"/>
    <w:rsid w:val="00F83B20"/>
    <w:rsid w:val="00F84709"/>
    <w:rsid w:val="00F85B81"/>
    <w:rsid w:val="00F91CF4"/>
    <w:rsid w:val="00FA0908"/>
    <w:rsid w:val="00FA0D64"/>
    <w:rsid w:val="00FA4082"/>
    <w:rsid w:val="00FA4552"/>
    <w:rsid w:val="00FB0EFD"/>
    <w:rsid w:val="00FB1D34"/>
    <w:rsid w:val="00FB27B6"/>
    <w:rsid w:val="00FB5941"/>
    <w:rsid w:val="00FD4201"/>
    <w:rsid w:val="00FD5603"/>
    <w:rsid w:val="00FD5F6C"/>
    <w:rsid w:val="00FD7811"/>
    <w:rsid w:val="00FE5403"/>
    <w:rsid w:val="00FF0A34"/>
    <w:rsid w:val="00FF1CA6"/>
    <w:rsid w:val="00FF3AE7"/>
    <w:rsid w:val="00FF6975"/>
    <w:rsid w:val="06BD4FFD"/>
    <w:rsid w:val="1F0F1D1B"/>
    <w:rsid w:val="26606930"/>
    <w:rsid w:val="467F0AFE"/>
    <w:rsid w:val="49D1141F"/>
    <w:rsid w:val="517A3214"/>
    <w:rsid w:val="538F03D2"/>
    <w:rsid w:val="6C0C40D1"/>
    <w:rsid w:val="74F3542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sdException w:qFormat="1" w:unhideWhenUsed="0"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name="Body Text Indent 2"/>
    <w:lsdException w:qFormat="1"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ocked="1"/>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SimSun" w:cs="Times New Roman"/>
      <w:sz w:val="24"/>
      <w:lang w:val="en-US" w:eastAsia="zh-CN" w:bidi="ar-SA"/>
    </w:rPr>
  </w:style>
  <w:style w:type="paragraph" w:styleId="2">
    <w:name w:val="heading 1"/>
    <w:basedOn w:val="1"/>
    <w:next w:val="1"/>
    <w:link w:val="38"/>
    <w:qFormat/>
    <w:uiPriority w:val="99"/>
    <w:pPr>
      <w:keepNext/>
      <w:keepLines/>
      <w:spacing w:before="480" w:after="200"/>
      <w:outlineLvl w:val="0"/>
    </w:pPr>
    <w:rPr>
      <w:rFonts w:ascii="Arial" w:hAnsi="Arial" w:eastAsia="Calibri" w:cs="Arial"/>
      <w:sz w:val="40"/>
      <w:szCs w:val="40"/>
    </w:rPr>
  </w:style>
  <w:style w:type="paragraph" w:styleId="3">
    <w:name w:val="heading 2"/>
    <w:basedOn w:val="1"/>
    <w:next w:val="1"/>
    <w:link w:val="39"/>
    <w:qFormat/>
    <w:uiPriority w:val="99"/>
    <w:pPr>
      <w:keepNext/>
      <w:keepLines/>
      <w:spacing w:before="360" w:after="200"/>
      <w:outlineLvl w:val="1"/>
    </w:pPr>
    <w:rPr>
      <w:rFonts w:ascii="Arial" w:hAnsi="Arial" w:eastAsia="Calibri" w:cs="Arial"/>
      <w:sz w:val="34"/>
    </w:rPr>
  </w:style>
  <w:style w:type="paragraph" w:styleId="4">
    <w:name w:val="heading 3"/>
    <w:basedOn w:val="1"/>
    <w:next w:val="1"/>
    <w:link w:val="40"/>
    <w:qFormat/>
    <w:uiPriority w:val="99"/>
    <w:pPr>
      <w:keepNext/>
      <w:keepLines/>
      <w:spacing w:before="320" w:after="200"/>
      <w:outlineLvl w:val="2"/>
    </w:pPr>
    <w:rPr>
      <w:rFonts w:ascii="Arial" w:hAnsi="Arial" w:eastAsia="Calibri" w:cs="Arial"/>
      <w:sz w:val="30"/>
      <w:szCs w:val="30"/>
    </w:rPr>
  </w:style>
  <w:style w:type="paragraph" w:styleId="5">
    <w:name w:val="heading 4"/>
    <w:basedOn w:val="1"/>
    <w:next w:val="1"/>
    <w:link w:val="41"/>
    <w:qFormat/>
    <w:uiPriority w:val="99"/>
    <w:pPr>
      <w:keepNext/>
      <w:keepLines/>
      <w:spacing w:before="320" w:after="200"/>
      <w:outlineLvl w:val="3"/>
    </w:pPr>
    <w:rPr>
      <w:rFonts w:ascii="Arial" w:hAnsi="Arial" w:eastAsia="Calibri" w:cs="Arial"/>
      <w:b/>
      <w:bCs/>
      <w:sz w:val="26"/>
      <w:szCs w:val="26"/>
    </w:rPr>
  </w:style>
  <w:style w:type="paragraph" w:styleId="6">
    <w:name w:val="heading 5"/>
    <w:basedOn w:val="1"/>
    <w:next w:val="1"/>
    <w:link w:val="42"/>
    <w:qFormat/>
    <w:uiPriority w:val="99"/>
    <w:pPr>
      <w:keepNext/>
      <w:keepLines/>
      <w:spacing w:before="320" w:after="200"/>
      <w:outlineLvl w:val="4"/>
    </w:pPr>
    <w:rPr>
      <w:rFonts w:ascii="Arial" w:hAnsi="Arial" w:eastAsia="Calibri" w:cs="Arial"/>
      <w:b/>
      <w:bCs/>
      <w:szCs w:val="24"/>
    </w:rPr>
  </w:style>
  <w:style w:type="paragraph" w:styleId="7">
    <w:name w:val="heading 6"/>
    <w:basedOn w:val="1"/>
    <w:next w:val="1"/>
    <w:link w:val="43"/>
    <w:qFormat/>
    <w:uiPriority w:val="99"/>
    <w:pPr>
      <w:keepNext/>
      <w:keepLines/>
      <w:spacing w:before="320" w:after="200"/>
      <w:outlineLvl w:val="5"/>
    </w:pPr>
    <w:rPr>
      <w:rFonts w:ascii="Arial" w:hAnsi="Arial" w:eastAsia="Calibri" w:cs="Arial"/>
      <w:b/>
      <w:bCs/>
      <w:sz w:val="22"/>
      <w:szCs w:val="22"/>
    </w:rPr>
  </w:style>
  <w:style w:type="paragraph" w:styleId="8">
    <w:name w:val="heading 7"/>
    <w:basedOn w:val="1"/>
    <w:next w:val="1"/>
    <w:link w:val="44"/>
    <w:qFormat/>
    <w:uiPriority w:val="99"/>
    <w:pPr>
      <w:keepNext/>
      <w:keepLines/>
      <w:spacing w:before="320" w:after="200"/>
      <w:outlineLvl w:val="6"/>
    </w:pPr>
    <w:rPr>
      <w:rFonts w:ascii="Arial" w:hAnsi="Arial" w:eastAsia="Calibri" w:cs="Arial"/>
      <w:b/>
      <w:bCs/>
      <w:i/>
      <w:iCs/>
      <w:sz w:val="22"/>
      <w:szCs w:val="22"/>
    </w:rPr>
  </w:style>
  <w:style w:type="paragraph" w:styleId="9">
    <w:name w:val="heading 8"/>
    <w:basedOn w:val="1"/>
    <w:next w:val="1"/>
    <w:link w:val="45"/>
    <w:qFormat/>
    <w:uiPriority w:val="99"/>
    <w:pPr>
      <w:keepNext/>
      <w:keepLines/>
      <w:spacing w:before="320" w:after="200"/>
      <w:outlineLvl w:val="7"/>
    </w:pPr>
    <w:rPr>
      <w:rFonts w:ascii="Arial" w:hAnsi="Arial" w:eastAsia="Calibri" w:cs="Arial"/>
      <w:i/>
      <w:iCs/>
      <w:sz w:val="22"/>
      <w:szCs w:val="22"/>
    </w:rPr>
  </w:style>
  <w:style w:type="paragraph" w:styleId="10">
    <w:name w:val="heading 9"/>
    <w:basedOn w:val="1"/>
    <w:next w:val="1"/>
    <w:link w:val="46"/>
    <w:qFormat/>
    <w:uiPriority w:val="99"/>
    <w:pPr>
      <w:keepNext/>
      <w:keepLines/>
      <w:spacing w:before="320" w:after="200"/>
      <w:outlineLvl w:val="8"/>
    </w:pPr>
    <w:rPr>
      <w:rFonts w:ascii="Arial" w:hAnsi="Arial" w:eastAsia="Calibri" w:cs="Arial"/>
      <w:i/>
      <w:iCs/>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186"/>
    <w:semiHidden/>
    <w:qFormat/>
    <w:uiPriority w:val="99"/>
    <w:rPr>
      <w:rFonts w:ascii="Tahoma" w:hAnsi="Tahoma" w:cs="Tahoma"/>
      <w:sz w:val="16"/>
      <w:szCs w:val="16"/>
    </w:rPr>
  </w:style>
  <w:style w:type="paragraph" w:styleId="14">
    <w:name w:val="Body Text"/>
    <w:basedOn w:val="1"/>
    <w:link w:val="185"/>
    <w:qFormat/>
    <w:uiPriority w:val="99"/>
    <w:pPr>
      <w:spacing w:after="120"/>
    </w:pPr>
  </w:style>
  <w:style w:type="paragraph" w:styleId="15">
    <w:name w:val="Body Text Indent 2"/>
    <w:basedOn w:val="1"/>
    <w:link w:val="187"/>
    <w:semiHidden/>
    <w:qFormat/>
    <w:uiPriority w:val="99"/>
    <w:pPr>
      <w:spacing w:after="120" w:line="480" w:lineRule="auto"/>
      <w:ind w:left="360"/>
    </w:pPr>
  </w:style>
  <w:style w:type="paragraph" w:styleId="16">
    <w:name w:val="Body Text Indent 3"/>
    <w:basedOn w:val="1"/>
    <w:link w:val="190"/>
    <w:unhideWhenUsed/>
    <w:qFormat/>
    <w:uiPriority w:val="99"/>
    <w:pPr>
      <w:pBdr>
        <w:top w:val="none" w:color="auto" w:sz="0" w:space="0"/>
        <w:left w:val="none" w:color="auto" w:sz="0" w:space="0"/>
        <w:bottom w:val="none" w:color="auto" w:sz="0" w:space="0"/>
        <w:right w:val="none" w:color="auto" w:sz="0" w:space="0"/>
        <w:between w:val="none" w:color="auto" w:sz="0" w:space="0"/>
      </w:pBdr>
      <w:autoSpaceDE w:val="0"/>
      <w:autoSpaceDN w:val="0"/>
      <w:spacing w:after="120"/>
      <w:ind w:left="283"/>
    </w:pPr>
    <w:rPr>
      <w:rFonts w:eastAsia="Times New Roman"/>
      <w:sz w:val="16"/>
      <w:szCs w:val="16"/>
      <w:lang w:eastAsia="en-US"/>
    </w:rPr>
  </w:style>
  <w:style w:type="character" w:styleId="17">
    <w:name w:val="Emphasis"/>
    <w:qFormat/>
    <w:uiPriority w:val="99"/>
    <w:rPr>
      <w:rFonts w:cs="Times New Roman"/>
      <w:i/>
    </w:rPr>
  </w:style>
  <w:style w:type="paragraph" w:styleId="18">
    <w:name w:val="footer"/>
    <w:basedOn w:val="1"/>
    <w:link w:val="182"/>
    <w:qFormat/>
    <w:uiPriority w:val="99"/>
    <w:pPr>
      <w:tabs>
        <w:tab w:val="center" w:pos="4320"/>
        <w:tab w:val="right" w:pos="8640"/>
      </w:tabs>
    </w:pPr>
  </w:style>
  <w:style w:type="character" w:styleId="19">
    <w:name w:val="footnote reference"/>
    <w:basedOn w:val="11"/>
    <w:qFormat/>
    <w:uiPriority w:val="99"/>
    <w:rPr>
      <w:rFonts w:cs="Times New Roman"/>
      <w:vertAlign w:val="superscript"/>
    </w:rPr>
  </w:style>
  <w:style w:type="paragraph" w:styleId="20">
    <w:name w:val="footnote text"/>
    <w:basedOn w:val="1"/>
    <w:link w:val="179"/>
    <w:semiHidden/>
    <w:qFormat/>
    <w:uiPriority w:val="99"/>
    <w:pPr>
      <w:spacing w:after="40"/>
    </w:pPr>
    <w:rPr>
      <w:rFonts w:ascii="Calibri" w:hAnsi="Calibri" w:eastAsia="Calibri"/>
      <w:sz w:val="18"/>
      <w:lang w:eastAsia="en-US"/>
    </w:rPr>
  </w:style>
  <w:style w:type="paragraph" w:styleId="21">
    <w:name w:val="header"/>
    <w:basedOn w:val="1"/>
    <w:link w:val="183"/>
    <w:qFormat/>
    <w:uiPriority w:val="99"/>
    <w:pPr>
      <w:tabs>
        <w:tab w:val="center" w:pos="4680"/>
        <w:tab w:val="right" w:pos="9360"/>
      </w:tabs>
    </w:pPr>
  </w:style>
  <w:style w:type="character" w:styleId="22">
    <w:name w:val="Hyperlink"/>
    <w:qFormat/>
    <w:uiPriority w:val="99"/>
    <w:rPr>
      <w:rFonts w:cs="Times New Roman"/>
      <w:color w:val="0000FF"/>
      <w:u w:val="single"/>
    </w:rPr>
  </w:style>
  <w:style w:type="paragraph" w:styleId="23">
    <w:name w:val="Normal (Web)"/>
    <w:basedOn w:val="1"/>
    <w:link w:val="189"/>
    <w:qFormat/>
    <w:uiPriority w:val="99"/>
    <w:pPr>
      <w:widowControl/>
      <w:spacing w:before="100" w:beforeAutospacing="1" w:after="100" w:afterAutospacing="1"/>
    </w:pPr>
    <w:rPr>
      <w:rFonts w:eastAsia="Times New Roman"/>
      <w:szCs w:val="24"/>
      <w:lang w:eastAsia="en-US"/>
    </w:rPr>
  </w:style>
  <w:style w:type="character" w:styleId="24">
    <w:name w:val="page number"/>
    <w:qFormat/>
    <w:uiPriority w:val="99"/>
    <w:rPr>
      <w:rFonts w:cs="Times New Roman"/>
    </w:rPr>
  </w:style>
  <w:style w:type="character" w:styleId="25">
    <w:name w:val="Strong"/>
    <w:qFormat/>
    <w:locked/>
    <w:uiPriority w:val="22"/>
    <w:rPr>
      <w:b/>
      <w:bCs/>
    </w:rPr>
  </w:style>
  <w:style w:type="paragraph" w:styleId="26">
    <w:name w:val="Subtitle"/>
    <w:basedOn w:val="1"/>
    <w:next w:val="1"/>
    <w:link w:val="49"/>
    <w:qFormat/>
    <w:uiPriority w:val="99"/>
    <w:pPr>
      <w:spacing w:before="200" w:after="200"/>
    </w:pPr>
    <w:rPr>
      <w:szCs w:val="24"/>
    </w:rPr>
  </w:style>
  <w:style w:type="table" w:styleId="27">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28">
    <w:name w:val="Title"/>
    <w:basedOn w:val="1"/>
    <w:next w:val="1"/>
    <w:link w:val="48"/>
    <w:qFormat/>
    <w:uiPriority w:val="99"/>
    <w:pPr>
      <w:spacing w:before="300" w:after="200"/>
      <w:contextualSpacing/>
    </w:pPr>
    <w:rPr>
      <w:sz w:val="48"/>
      <w:szCs w:val="48"/>
    </w:rPr>
  </w:style>
  <w:style w:type="paragraph" w:styleId="29">
    <w:name w:val="toc 1"/>
    <w:basedOn w:val="1"/>
    <w:next w:val="1"/>
    <w:qFormat/>
    <w:uiPriority w:val="99"/>
    <w:pPr>
      <w:spacing w:after="57"/>
    </w:pPr>
  </w:style>
  <w:style w:type="paragraph" w:styleId="30">
    <w:name w:val="toc 2"/>
    <w:basedOn w:val="1"/>
    <w:next w:val="1"/>
    <w:qFormat/>
    <w:uiPriority w:val="99"/>
    <w:pPr>
      <w:spacing w:after="57"/>
      <w:ind w:left="283"/>
    </w:pPr>
  </w:style>
  <w:style w:type="paragraph" w:styleId="31">
    <w:name w:val="toc 3"/>
    <w:basedOn w:val="1"/>
    <w:next w:val="1"/>
    <w:qFormat/>
    <w:uiPriority w:val="99"/>
    <w:pPr>
      <w:spacing w:after="57"/>
      <w:ind w:left="567"/>
    </w:pPr>
  </w:style>
  <w:style w:type="paragraph" w:styleId="32">
    <w:name w:val="toc 4"/>
    <w:basedOn w:val="1"/>
    <w:next w:val="1"/>
    <w:qFormat/>
    <w:uiPriority w:val="99"/>
    <w:pPr>
      <w:spacing w:after="57"/>
      <w:ind w:left="850"/>
    </w:pPr>
  </w:style>
  <w:style w:type="paragraph" w:styleId="33">
    <w:name w:val="toc 5"/>
    <w:basedOn w:val="1"/>
    <w:next w:val="1"/>
    <w:qFormat/>
    <w:uiPriority w:val="99"/>
    <w:pPr>
      <w:spacing w:after="57"/>
      <w:ind w:left="1134"/>
    </w:pPr>
  </w:style>
  <w:style w:type="paragraph" w:styleId="34">
    <w:name w:val="toc 6"/>
    <w:basedOn w:val="1"/>
    <w:next w:val="1"/>
    <w:qFormat/>
    <w:uiPriority w:val="99"/>
    <w:pPr>
      <w:spacing w:after="57"/>
      <w:ind w:left="1417"/>
    </w:pPr>
  </w:style>
  <w:style w:type="paragraph" w:styleId="35">
    <w:name w:val="toc 7"/>
    <w:basedOn w:val="1"/>
    <w:next w:val="1"/>
    <w:qFormat/>
    <w:uiPriority w:val="99"/>
    <w:pPr>
      <w:spacing w:after="57"/>
      <w:ind w:left="1701"/>
    </w:pPr>
  </w:style>
  <w:style w:type="paragraph" w:styleId="36">
    <w:name w:val="toc 8"/>
    <w:basedOn w:val="1"/>
    <w:next w:val="1"/>
    <w:qFormat/>
    <w:uiPriority w:val="99"/>
    <w:pPr>
      <w:spacing w:after="57"/>
      <w:ind w:left="1984"/>
    </w:pPr>
  </w:style>
  <w:style w:type="paragraph" w:styleId="37">
    <w:name w:val="toc 9"/>
    <w:basedOn w:val="1"/>
    <w:next w:val="1"/>
    <w:qFormat/>
    <w:uiPriority w:val="99"/>
    <w:pPr>
      <w:spacing w:after="57"/>
      <w:ind w:left="2268"/>
    </w:pPr>
  </w:style>
  <w:style w:type="character" w:customStyle="1" w:styleId="38">
    <w:name w:val="Heading 1 Char"/>
    <w:link w:val="2"/>
    <w:qFormat/>
    <w:locked/>
    <w:uiPriority w:val="99"/>
    <w:rPr>
      <w:rFonts w:ascii="Arial" w:hAnsi="Arial" w:eastAsia="Times New Roman" w:cs="Arial"/>
      <w:sz w:val="40"/>
      <w:szCs w:val="40"/>
    </w:rPr>
  </w:style>
  <w:style w:type="character" w:customStyle="1" w:styleId="39">
    <w:name w:val="Heading 2 Char"/>
    <w:link w:val="3"/>
    <w:qFormat/>
    <w:locked/>
    <w:uiPriority w:val="99"/>
    <w:rPr>
      <w:rFonts w:ascii="Arial" w:hAnsi="Arial" w:eastAsia="Times New Roman" w:cs="Arial"/>
      <w:sz w:val="34"/>
    </w:rPr>
  </w:style>
  <w:style w:type="character" w:customStyle="1" w:styleId="40">
    <w:name w:val="Heading 3 Char"/>
    <w:link w:val="4"/>
    <w:qFormat/>
    <w:locked/>
    <w:uiPriority w:val="99"/>
    <w:rPr>
      <w:rFonts w:ascii="Arial" w:hAnsi="Arial" w:eastAsia="Times New Roman" w:cs="Arial"/>
      <w:sz w:val="30"/>
      <w:szCs w:val="30"/>
    </w:rPr>
  </w:style>
  <w:style w:type="character" w:customStyle="1" w:styleId="41">
    <w:name w:val="Heading 4 Char"/>
    <w:link w:val="5"/>
    <w:qFormat/>
    <w:locked/>
    <w:uiPriority w:val="99"/>
    <w:rPr>
      <w:rFonts w:ascii="Arial" w:hAnsi="Arial" w:eastAsia="Times New Roman" w:cs="Arial"/>
      <w:b/>
      <w:bCs/>
      <w:sz w:val="26"/>
      <w:szCs w:val="26"/>
    </w:rPr>
  </w:style>
  <w:style w:type="character" w:customStyle="1" w:styleId="42">
    <w:name w:val="Heading 5 Char"/>
    <w:link w:val="6"/>
    <w:qFormat/>
    <w:locked/>
    <w:uiPriority w:val="99"/>
    <w:rPr>
      <w:rFonts w:ascii="Arial" w:hAnsi="Arial" w:eastAsia="Times New Roman" w:cs="Arial"/>
      <w:b/>
      <w:bCs/>
      <w:sz w:val="24"/>
      <w:szCs w:val="24"/>
    </w:rPr>
  </w:style>
  <w:style w:type="character" w:customStyle="1" w:styleId="43">
    <w:name w:val="Heading 6 Char"/>
    <w:link w:val="7"/>
    <w:qFormat/>
    <w:locked/>
    <w:uiPriority w:val="99"/>
    <w:rPr>
      <w:rFonts w:ascii="Arial" w:hAnsi="Arial" w:eastAsia="Times New Roman" w:cs="Arial"/>
      <w:b/>
      <w:bCs/>
      <w:sz w:val="22"/>
      <w:szCs w:val="22"/>
    </w:rPr>
  </w:style>
  <w:style w:type="character" w:customStyle="1" w:styleId="44">
    <w:name w:val="Heading 7 Char"/>
    <w:link w:val="8"/>
    <w:qFormat/>
    <w:locked/>
    <w:uiPriority w:val="99"/>
    <w:rPr>
      <w:rFonts w:ascii="Arial" w:hAnsi="Arial" w:eastAsia="Times New Roman" w:cs="Arial"/>
      <w:b/>
      <w:bCs/>
      <w:i/>
      <w:iCs/>
      <w:sz w:val="22"/>
      <w:szCs w:val="22"/>
    </w:rPr>
  </w:style>
  <w:style w:type="character" w:customStyle="1" w:styleId="45">
    <w:name w:val="Heading 8 Char"/>
    <w:link w:val="9"/>
    <w:qFormat/>
    <w:locked/>
    <w:uiPriority w:val="99"/>
    <w:rPr>
      <w:rFonts w:ascii="Arial" w:hAnsi="Arial" w:eastAsia="Times New Roman" w:cs="Arial"/>
      <w:i/>
      <w:iCs/>
      <w:sz w:val="22"/>
      <w:szCs w:val="22"/>
    </w:rPr>
  </w:style>
  <w:style w:type="character" w:customStyle="1" w:styleId="46">
    <w:name w:val="Heading 9 Char"/>
    <w:link w:val="10"/>
    <w:qFormat/>
    <w:locked/>
    <w:uiPriority w:val="99"/>
    <w:rPr>
      <w:rFonts w:ascii="Arial" w:hAnsi="Arial" w:eastAsia="Times New Roman" w:cs="Arial"/>
      <w:i/>
      <w:iCs/>
      <w:sz w:val="21"/>
      <w:szCs w:val="21"/>
    </w:rPr>
  </w:style>
  <w:style w:type="paragraph" w:styleId="47">
    <w:name w:val="No Spacing"/>
    <w:qFormat/>
    <w:uiPriority w:val="99"/>
    <w:pPr>
      <w:pBdr>
        <w:top w:val="none" w:color="000000" w:sz="0" w:space="0"/>
        <w:left w:val="none" w:color="000000" w:sz="0" w:space="0"/>
        <w:bottom w:val="none" w:color="000000" w:sz="0" w:space="0"/>
        <w:right w:val="none" w:color="000000" w:sz="0" w:space="0"/>
        <w:between w:val="none" w:color="000000" w:sz="0" w:space="0"/>
      </w:pBdr>
    </w:pPr>
    <w:rPr>
      <w:rFonts w:ascii="Calibri" w:hAnsi="Calibri" w:eastAsia="Calibri" w:cs="Calibri"/>
      <w:sz w:val="22"/>
      <w:szCs w:val="22"/>
      <w:lang w:val="en-US" w:eastAsia="en-US" w:bidi="ar-SA"/>
    </w:rPr>
  </w:style>
  <w:style w:type="character" w:customStyle="1" w:styleId="48">
    <w:name w:val="Title Char"/>
    <w:link w:val="28"/>
    <w:qFormat/>
    <w:locked/>
    <w:uiPriority w:val="99"/>
    <w:rPr>
      <w:rFonts w:cs="Times New Roman"/>
      <w:sz w:val="48"/>
      <w:szCs w:val="48"/>
    </w:rPr>
  </w:style>
  <w:style w:type="character" w:customStyle="1" w:styleId="49">
    <w:name w:val="Subtitle Char"/>
    <w:link w:val="26"/>
    <w:qFormat/>
    <w:locked/>
    <w:uiPriority w:val="99"/>
    <w:rPr>
      <w:rFonts w:cs="Times New Roman"/>
      <w:sz w:val="24"/>
      <w:szCs w:val="24"/>
    </w:rPr>
  </w:style>
  <w:style w:type="paragraph" w:styleId="50">
    <w:name w:val="Quote"/>
    <w:basedOn w:val="1"/>
    <w:next w:val="1"/>
    <w:link w:val="51"/>
    <w:qFormat/>
    <w:uiPriority w:val="99"/>
    <w:pPr>
      <w:ind w:left="720" w:right="720"/>
    </w:pPr>
    <w:rPr>
      <w:rFonts w:ascii="Calibri" w:hAnsi="Calibri" w:eastAsia="Calibri"/>
      <w:i/>
      <w:sz w:val="20"/>
      <w:lang w:eastAsia="en-US"/>
    </w:rPr>
  </w:style>
  <w:style w:type="character" w:customStyle="1" w:styleId="51">
    <w:name w:val="Quote Char"/>
    <w:link w:val="50"/>
    <w:qFormat/>
    <w:locked/>
    <w:uiPriority w:val="99"/>
    <w:rPr>
      <w:i/>
    </w:rPr>
  </w:style>
  <w:style w:type="paragraph" w:styleId="52">
    <w:name w:val="Intense Quote"/>
    <w:basedOn w:val="1"/>
    <w:next w:val="1"/>
    <w:link w:val="53"/>
    <w:qFormat/>
    <w:uiPriority w:val="99"/>
    <w:pPr>
      <w:pBdr>
        <w:top w:val="single" w:color="FFFFFF" w:sz="4" w:space="5"/>
        <w:left w:val="single" w:color="FFFFFF" w:sz="4" w:space="10"/>
        <w:bottom w:val="single" w:color="FFFFFF" w:sz="4" w:space="5"/>
        <w:right w:val="single" w:color="FFFFFF" w:sz="4" w:space="10"/>
      </w:pBdr>
      <w:shd w:val="clear" w:color="auto" w:fill="F2F2F2"/>
      <w:ind w:left="720" w:right="720"/>
    </w:pPr>
    <w:rPr>
      <w:rFonts w:ascii="Calibri" w:hAnsi="Calibri" w:eastAsia="Calibri"/>
      <w:i/>
      <w:sz w:val="20"/>
      <w:lang w:eastAsia="en-US"/>
    </w:rPr>
  </w:style>
  <w:style w:type="character" w:customStyle="1" w:styleId="53">
    <w:name w:val="Intense Quote Char"/>
    <w:link w:val="52"/>
    <w:qFormat/>
    <w:locked/>
    <w:uiPriority w:val="99"/>
    <w:rPr>
      <w:i/>
    </w:rPr>
  </w:style>
  <w:style w:type="table" w:customStyle="1" w:styleId="54">
    <w:name w:val="Table Grid Light1"/>
    <w:qFormat/>
    <w:uiPriority w:val="99"/>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top w:w="0" w:type="dxa"/>
        <w:left w:w="108" w:type="dxa"/>
        <w:bottom w:w="0" w:type="dxa"/>
        <w:right w:w="108" w:type="dxa"/>
      </w:tblCellMar>
    </w:tblPr>
  </w:style>
  <w:style w:type="table" w:customStyle="1" w:styleId="55">
    <w:name w:val="Plain Table 11"/>
    <w:qFormat/>
    <w:uiPriority w:val="99"/>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top w:w="0" w:type="dxa"/>
        <w:left w:w="108" w:type="dxa"/>
        <w:bottom w:w="0" w:type="dxa"/>
        <w:right w:w="108" w:type="dxa"/>
      </w:tblCellMar>
    </w:tblPr>
  </w:style>
  <w:style w:type="table" w:customStyle="1" w:styleId="56">
    <w:name w:val="Plain Table 21"/>
    <w:qFormat/>
    <w:uiPriority w:val="99"/>
    <w:tblPr>
      <w:tblBorders>
        <w:top w:val="single" w:color="000000" w:sz="4" w:space="0"/>
        <w:left w:val="none" w:color="000000" w:sz="4" w:space="0"/>
        <w:bottom w:val="single" w:color="000000" w:sz="4" w:space="0"/>
        <w:right w:val="none" w:color="000000" w:sz="4" w:space="0"/>
      </w:tblBorders>
      <w:tblCellMar>
        <w:top w:w="0" w:type="dxa"/>
        <w:left w:w="108" w:type="dxa"/>
        <w:bottom w:w="0" w:type="dxa"/>
        <w:right w:w="108" w:type="dxa"/>
      </w:tblCellMar>
    </w:tblPr>
  </w:style>
  <w:style w:type="table" w:customStyle="1" w:styleId="57">
    <w:name w:val="Plain Table 31"/>
    <w:uiPriority w:val="99"/>
    <w:tblPr>
      <w:tblCellMar>
        <w:top w:w="0" w:type="dxa"/>
        <w:left w:w="108" w:type="dxa"/>
        <w:bottom w:w="0" w:type="dxa"/>
        <w:right w:w="108" w:type="dxa"/>
      </w:tblCellMar>
    </w:tblPr>
  </w:style>
  <w:style w:type="table" w:customStyle="1" w:styleId="58">
    <w:name w:val="Plain Table 41"/>
    <w:uiPriority w:val="99"/>
    <w:tblPr>
      <w:tblCellMar>
        <w:top w:w="0" w:type="dxa"/>
        <w:left w:w="108" w:type="dxa"/>
        <w:bottom w:w="0" w:type="dxa"/>
        <w:right w:w="108" w:type="dxa"/>
      </w:tblCellMar>
    </w:tblPr>
  </w:style>
  <w:style w:type="table" w:customStyle="1" w:styleId="59">
    <w:name w:val="Plain Table 51"/>
    <w:uiPriority w:val="99"/>
    <w:tblPr>
      <w:tblCellMar>
        <w:top w:w="0" w:type="dxa"/>
        <w:left w:w="108" w:type="dxa"/>
        <w:bottom w:w="0" w:type="dxa"/>
        <w:right w:w="108" w:type="dxa"/>
      </w:tblCellMar>
    </w:tblPr>
  </w:style>
  <w:style w:type="table" w:customStyle="1" w:styleId="60">
    <w:name w:val="Grid Table 1 Light1"/>
    <w:qFormat/>
    <w:uiPriority w:val="99"/>
    <w:tblPr>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top w:w="0" w:type="dxa"/>
        <w:left w:w="108" w:type="dxa"/>
        <w:bottom w:w="0" w:type="dxa"/>
        <w:right w:w="108" w:type="dxa"/>
      </w:tblCellMar>
    </w:tblPr>
  </w:style>
  <w:style w:type="table" w:customStyle="1" w:styleId="61">
    <w:name w:val="Grid Table 1 Light - Accent 11"/>
    <w:uiPriority w:val="99"/>
    <w:tblPr>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top w:w="0" w:type="dxa"/>
        <w:left w:w="108" w:type="dxa"/>
        <w:bottom w:w="0" w:type="dxa"/>
        <w:right w:w="108" w:type="dxa"/>
      </w:tblCellMar>
    </w:tblPr>
  </w:style>
  <w:style w:type="table" w:customStyle="1" w:styleId="62">
    <w:name w:val="Grid Table 1 Light - Accent 21"/>
    <w:qFormat/>
    <w:uiPriority w:val="99"/>
    <w:tblPr>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top w:w="0" w:type="dxa"/>
        <w:left w:w="108" w:type="dxa"/>
        <w:bottom w:w="0" w:type="dxa"/>
        <w:right w:w="108" w:type="dxa"/>
      </w:tblCellMar>
    </w:tblPr>
  </w:style>
  <w:style w:type="table" w:customStyle="1" w:styleId="63">
    <w:name w:val="Grid Table 1 Light - Accent 31"/>
    <w:qFormat/>
    <w:uiPriority w:val="99"/>
    <w:tblP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top w:w="0" w:type="dxa"/>
        <w:left w:w="108" w:type="dxa"/>
        <w:bottom w:w="0" w:type="dxa"/>
        <w:right w:w="108" w:type="dxa"/>
      </w:tblCellMar>
    </w:tblPr>
  </w:style>
  <w:style w:type="table" w:customStyle="1" w:styleId="64">
    <w:name w:val="Grid Table 1 Light - Accent 41"/>
    <w:qFormat/>
    <w:uiPriority w:val="99"/>
    <w:tblP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top w:w="0" w:type="dxa"/>
        <w:left w:w="108" w:type="dxa"/>
        <w:bottom w:w="0" w:type="dxa"/>
        <w:right w:w="108" w:type="dxa"/>
      </w:tblCellMar>
    </w:tblPr>
  </w:style>
  <w:style w:type="table" w:customStyle="1" w:styleId="65">
    <w:name w:val="Grid Table 1 Light - Accent 51"/>
    <w:qFormat/>
    <w:uiPriority w:val="99"/>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top w:w="0" w:type="dxa"/>
        <w:left w:w="108" w:type="dxa"/>
        <w:bottom w:w="0" w:type="dxa"/>
        <w:right w:w="108" w:type="dxa"/>
      </w:tblCellMar>
    </w:tblPr>
  </w:style>
  <w:style w:type="table" w:customStyle="1" w:styleId="66">
    <w:name w:val="Grid Table 1 Light - Accent 61"/>
    <w:qFormat/>
    <w:uiPriority w:val="99"/>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top w:w="0" w:type="dxa"/>
        <w:left w:w="108" w:type="dxa"/>
        <w:bottom w:w="0" w:type="dxa"/>
        <w:right w:w="108" w:type="dxa"/>
      </w:tblCellMar>
    </w:tblPr>
  </w:style>
  <w:style w:type="table" w:customStyle="1" w:styleId="67">
    <w:name w:val="Grid Table 21"/>
    <w:uiPriority w:val="99"/>
    <w:tblPr>
      <w:tblBorders>
        <w:bottom w:val="single" w:color="6A6A6A" w:sz="4" w:space="0"/>
        <w:insideH w:val="single" w:color="6A6A6A" w:sz="4" w:space="0"/>
        <w:insideV w:val="single" w:color="6A6A6A" w:sz="4" w:space="0"/>
      </w:tblBorders>
      <w:tblCellMar>
        <w:top w:w="0" w:type="dxa"/>
        <w:left w:w="108" w:type="dxa"/>
        <w:bottom w:w="0" w:type="dxa"/>
        <w:right w:w="108" w:type="dxa"/>
      </w:tblCellMar>
    </w:tblPr>
  </w:style>
  <w:style w:type="table" w:customStyle="1" w:styleId="68">
    <w:name w:val="Grid Table 2 - Accent 11"/>
    <w:uiPriority w:val="99"/>
    <w:tblPr>
      <w:tblBorders>
        <w:bottom w:val="single" w:color="5D8AC2" w:sz="4" w:space="0"/>
        <w:insideH w:val="single" w:color="5D8AC2" w:sz="4" w:space="0"/>
        <w:insideV w:val="single" w:color="5D8AC2" w:sz="4" w:space="0"/>
      </w:tblBorders>
      <w:tblCellMar>
        <w:top w:w="0" w:type="dxa"/>
        <w:left w:w="108" w:type="dxa"/>
        <w:bottom w:w="0" w:type="dxa"/>
        <w:right w:w="108" w:type="dxa"/>
      </w:tblCellMar>
    </w:tblPr>
  </w:style>
  <w:style w:type="table" w:customStyle="1" w:styleId="69">
    <w:name w:val="Grid Table 2 - Accent 21"/>
    <w:qFormat/>
    <w:uiPriority w:val="99"/>
    <w:tblPr>
      <w:tblBorders>
        <w:bottom w:val="single" w:color="D99695" w:sz="4" w:space="0"/>
        <w:insideH w:val="single" w:color="D99695" w:sz="4" w:space="0"/>
        <w:insideV w:val="single" w:color="D99695" w:sz="4" w:space="0"/>
      </w:tblBorders>
      <w:tblCellMar>
        <w:top w:w="0" w:type="dxa"/>
        <w:left w:w="108" w:type="dxa"/>
        <w:bottom w:w="0" w:type="dxa"/>
        <w:right w:w="108" w:type="dxa"/>
      </w:tblCellMar>
    </w:tblPr>
  </w:style>
  <w:style w:type="table" w:customStyle="1" w:styleId="70">
    <w:name w:val="Grid Table 2 - Accent 31"/>
    <w:uiPriority w:val="99"/>
    <w:tblPr>
      <w:tblBorders>
        <w:bottom w:val="single" w:color="9ABB59" w:sz="4" w:space="0"/>
        <w:insideH w:val="single" w:color="9ABB59" w:sz="4" w:space="0"/>
        <w:insideV w:val="single" w:color="9ABB59" w:sz="4" w:space="0"/>
      </w:tblBorders>
      <w:tblCellMar>
        <w:top w:w="0" w:type="dxa"/>
        <w:left w:w="108" w:type="dxa"/>
        <w:bottom w:w="0" w:type="dxa"/>
        <w:right w:w="108" w:type="dxa"/>
      </w:tblCellMar>
    </w:tblPr>
  </w:style>
  <w:style w:type="table" w:customStyle="1" w:styleId="71">
    <w:name w:val="Grid Table 2 - Accent 41"/>
    <w:uiPriority w:val="99"/>
    <w:tblPr>
      <w:tblBorders>
        <w:bottom w:val="single" w:color="B2A1C6" w:sz="4" w:space="0"/>
        <w:insideH w:val="single" w:color="B2A1C6" w:sz="4" w:space="0"/>
        <w:insideV w:val="single" w:color="B2A1C6" w:sz="4" w:space="0"/>
      </w:tblBorders>
      <w:tblCellMar>
        <w:top w:w="0" w:type="dxa"/>
        <w:left w:w="108" w:type="dxa"/>
        <w:bottom w:w="0" w:type="dxa"/>
        <w:right w:w="108" w:type="dxa"/>
      </w:tblCellMar>
    </w:tblPr>
  </w:style>
  <w:style w:type="table" w:customStyle="1" w:styleId="72">
    <w:name w:val="Grid Table 2 - Accent 51"/>
    <w:qFormat/>
    <w:uiPriority w:val="99"/>
    <w:tblPr>
      <w:tblBorders>
        <w:bottom w:val="single" w:color="4BACC6" w:sz="4" w:space="0"/>
        <w:insideH w:val="single" w:color="4BACC6" w:sz="4" w:space="0"/>
        <w:insideV w:val="single" w:color="4BACC6" w:sz="4" w:space="0"/>
      </w:tblBorders>
      <w:tblCellMar>
        <w:top w:w="0" w:type="dxa"/>
        <w:left w:w="108" w:type="dxa"/>
        <w:bottom w:w="0" w:type="dxa"/>
        <w:right w:w="108" w:type="dxa"/>
      </w:tblCellMar>
    </w:tblPr>
  </w:style>
  <w:style w:type="table" w:customStyle="1" w:styleId="73">
    <w:name w:val="Grid Table 2 - Accent 61"/>
    <w:qFormat/>
    <w:uiPriority w:val="99"/>
    <w:tblPr>
      <w:tblBorders>
        <w:bottom w:val="single" w:color="F79646" w:sz="4" w:space="0"/>
        <w:insideH w:val="single" w:color="F79646" w:sz="4" w:space="0"/>
        <w:insideV w:val="single" w:color="F79646" w:sz="4" w:space="0"/>
      </w:tblBorders>
      <w:tblCellMar>
        <w:top w:w="0" w:type="dxa"/>
        <w:left w:w="108" w:type="dxa"/>
        <w:bottom w:w="0" w:type="dxa"/>
        <w:right w:w="108" w:type="dxa"/>
      </w:tblCellMar>
    </w:tblPr>
  </w:style>
  <w:style w:type="table" w:customStyle="1" w:styleId="74">
    <w:name w:val="Grid Table 31"/>
    <w:uiPriority w:val="99"/>
    <w:tblPr>
      <w:tblBorders>
        <w:bottom w:val="single" w:color="6A6A6A" w:sz="4" w:space="0"/>
        <w:insideH w:val="single" w:color="6A6A6A" w:sz="4" w:space="0"/>
        <w:insideV w:val="single" w:color="6A6A6A" w:sz="4" w:space="0"/>
      </w:tblBorders>
      <w:tblCellMar>
        <w:top w:w="0" w:type="dxa"/>
        <w:left w:w="108" w:type="dxa"/>
        <w:bottom w:w="0" w:type="dxa"/>
        <w:right w:w="108" w:type="dxa"/>
      </w:tblCellMar>
    </w:tblPr>
  </w:style>
  <w:style w:type="table" w:customStyle="1" w:styleId="75">
    <w:name w:val="Grid Table 3 - Accent 11"/>
    <w:qFormat/>
    <w:uiPriority w:val="99"/>
    <w:tblPr>
      <w:tblBorders>
        <w:bottom w:val="single" w:color="5D8AC2" w:sz="4" w:space="0"/>
        <w:insideH w:val="single" w:color="5D8AC2" w:sz="4" w:space="0"/>
        <w:insideV w:val="single" w:color="5D8AC2" w:sz="4" w:space="0"/>
      </w:tblBorders>
      <w:tblCellMar>
        <w:top w:w="0" w:type="dxa"/>
        <w:left w:w="108" w:type="dxa"/>
        <w:bottom w:w="0" w:type="dxa"/>
        <w:right w:w="108" w:type="dxa"/>
      </w:tblCellMar>
    </w:tblPr>
  </w:style>
  <w:style w:type="table" w:customStyle="1" w:styleId="76">
    <w:name w:val="Grid Table 3 - Accent 21"/>
    <w:uiPriority w:val="99"/>
    <w:tblPr>
      <w:tblBorders>
        <w:bottom w:val="single" w:color="D99695" w:sz="4" w:space="0"/>
        <w:insideH w:val="single" w:color="D99695" w:sz="4" w:space="0"/>
        <w:insideV w:val="single" w:color="D99695" w:sz="4" w:space="0"/>
      </w:tblBorders>
      <w:tblCellMar>
        <w:top w:w="0" w:type="dxa"/>
        <w:left w:w="108" w:type="dxa"/>
        <w:bottom w:w="0" w:type="dxa"/>
        <w:right w:w="108" w:type="dxa"/>
      </w:tblCellMar>
    </w:tblPr>
  </w:style>
  <w:style w:type="table" w:customStyle="1" w:styleId="77">
    <w:name w:val="Grid Table 3 - Accent 31"/>
    <w:uiPriority w:val="99"/>
    <w:tblPr>
      <w:tblBorders>
        <w:bottom w:val="single" w:color="9ABB59" w:sz="4" w:space="0"/>
        <w:insideH w:val="single" w:color="9ABB59" w:sz="4" w:space="0"/>
        <w:insideV w:val="single" w:color="9ABB59" w:sz="4" w:space="0"/>
      </w:tblBorders>
      <w:tblCellMar>
        <w:top w:w="0" w:type="dxa"/>
        <w:left w:w="108" w:type="dxa"/>
        <w:bottom w:w="0" w:type="dxa"/>
        <w:right w:w="108" w:type="dxa"/>
      </w:tblCellMar>
    </w:tblPr>
  </w:style>
  <w:style w:type="table" w:customStyle="1" w:styleId="78">
    <w:name w:val="Grid Table 3 - Accent 41"/>
    <w:uiPriority w:val="99"/>
    <w:tblPr>
      <w:tblBorders>
        <w:bottom w:val="single" w:color="B2A1C6" w:sz="4" w:space="0"/>
        <w:insideH w:val="single" w:color="B2A1C6" w:sz="4" w:space="0"/>
        <w:insideV w:val="single" w:color="B2A1C6" w:sz="4" w:space="0"/>
      </w:tblBorders>
      <w:tblCellMar>
        <w:top w:w="0" w:type="dxa"/>
        <w:left w:w="108" w:type="dxa"/>
        <w:bottom w:w="0" w:type="dxa"/>
        <w:right w:w="108" w:type="dxa"/>
      </w:tblCellMar>
    </w:tblPr>
  </w:style>
  <w:style w:type="table" w:customStyle="1" w:styleId="79">
    <w:name w:val="Grid Table 3 - Accent 51"/>
    <w:qFormat/>
    <w:uiPriority w:val="99"/>
    <w:tblPr>
      <w:tblBorders>
        <w:bottom w:val="single" w:color="4BACC6" w:sz="4" w:space="0"/>
        <w:insideH w:val="single" w:color="4BACC6" w:sz="4" w:space="0"/>
        <w:insideV w:val="single" w:color="4BACC6" w:sz="4" w:space="0"/>
      </w:tblBorders>
      <w:tblCellMar>
        <w:top w:w="0" w:type="dxa"/>
        <w:left w:w="108" w:type="dxa"/>
        <w:bottom w:w="0" w:type="dxa"/>
        <w:right w:w="108" w:type="dxa"/>
      </w:tblCellMar>
    </w:tblPr>
  </w:style>
  <w:style w:type="table" w:customStyle="1" w:styleId="80">
    <w:name w:val="Grid Table 3 - Accent 61"/>
    <w:qFormat/>
    <w:uiPriority w:val="99"/>
    <w:tblPr>
      <w:tblBorders>
        <w:bottom w:val="single" w:color="F79646" w:sz="4" w:space="0"/>
        <w:insideH w:val="single" w:color="F79646" w:sz="4" w:space="0"/>
        <w:insideV w:val="single" w:color="F79646" w:sz="4" w:space="0"/>
      </w:tblBorders>
      <w:tblCellMar>
        <w:top w:w="0" w:type="dxa"/>
        <w:left w:w="108" w:type="dxa"/>
        <w:bottom w:w="0" w:type="dxa"/>
        <w:right w:w="108" w:type="dxa"/>
      </w:tblCellMar>
    </w:tblPr>
  </w:style>
  <w:style w:type="table" w:customStyle="1" w:styleId="81">
    <w:name w:val="Grid Table 41"/>
    <w:qFormat/>
    <w:uiPriority w:val="99"/>
    <w:tblPr>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top w:w="0" w:type="dxa"/>
        <w:left w:w="108" w:type="dxa"/>
        <w:bottom w:w="0" w:type="dxa"/>
        <w:right w:w="108" w:type="dxa"/>
      </w:tblCellMar>
    </w:tblPr>
  </w:style>
  <w:style w:type="table" w:customStyle="1" w:styleId="82">
    <w:name w:val="Grid Table 4 - Accent 11"/>
    <w:qFormat/>
    <w:uiPriority w:val="99"/>
    <w:tblPr>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top w:w="0" w:type="dxa"/>
        <w:left w:w="108" w:type="dxa"/>
        <w:bottom w:w="0" w:type="dxa"/>
        <w:right w:w="108" w:type="dxa"/>
      </w:tblCellMar>
    </w:tblPr>
  </w:style>
  <w:style w:type="table" w:customStyle="1" w:styleId="83">
    <w:name w:val="Grid Table 4 - Accent 21"/>
    <w:qFormat/>
    <w:uiPriority w:val="99"/>
    <w:tblPr>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top w:w="0" w:type="dxa"/>
        <w:left w:w="108" w:type="dxa"/>
        <w:bottom w:w="0" w:type="dxa"/>
        <w:right w:w="108" w:type="dxa"/>
      </w:tblCellMar>
    </w:tblPr>
  </w:style>
  <w:style w:type="table" w:customStyle="1" w:styleId="84">
    <w:name w:val="Grid Table 4 - Accent 31"/>
    <w:qFormat/>
    <w:uiPriority w:val="99"/>
    <w:tblPr>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top w:w="0" w:type="dxa"/>
        <w:left w:w="108" w:type="dxa"/>
        <w:bottom w:w="0" w:type="dxa"/>
        <w:right w:w="108" w:type="dxa"/>
      </w:tblCellMar>
    </w:tblPr>
  </w:style>
  <w:style w:type="table" w:customStyle="1" w:styleId="85">
    <w:name w:val="Grid Table 4 - Accent 41"/>
    <w:qFormat/>
    <w:uiPriority w:val="99"/>
    <w:tblPr>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top w:w="0" w:type="dxa"/>
        <w:left w:w="108" w:type="dxa"/>
        <w:bottom w:w="0" w:type="dxa"/>
        <w:right w:w="108" w:type="dxa"/>
      </w:tblCellMar>
    </w:tblPr>
  </w:style>
  <w:style w:type="table" w:customStyle="1" w:styleId="86">
    <w:name w:val="Grid Table 4 - Accent 51"/>
    <w:qFormat/>
    <w:uiPriority w:val="99"/>
    <w:tblPr>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top w:w="0" w:type="dxa"/>
        <w:left w:w="108" w:type="dxa"/>
        <w:bottom w:w="0" w:type="dxa"/>
        <w:right w:w="108" w:type="dxa"/>
      </w:tblCellMar>
    </w:tblPr>
  </w:style>
  <w:style w:type="table" w:customStyle="1" w:styleId="87">
    <w:name w:val="Grid Table 4 - Accent 61"/>
    <w:qFormat/>
    <w:uiPriority w:val="99"/>
    <w:tblPr>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top w:w="0" w:type="dxa"/>
        <w:left w:w="108" w:type="dxa"/>
        <w:bottom w:w="0" w:type="dxa"/>
        <w:right w:w="108" w:type="dxa"/>
      </w:tblCellMar>
    </w:tblPr>
  </w:style>
  <w:style w:type="table" w:customStyle="1" w:styleId="88">
    <w:name w:val="Grid Table 5 Dark1"/>
    <w:qFormat/>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style>
  <w:style w:type="table" w:customStyle="1" w:styleId="89">
    <w:name w:val="Grid Table 5 Dark- Accent 1"/>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style>
  <w:style w:type="table" w:customStyle="1" w:styleId="90">
    <w:name w:val="Grid Table 5 Dark - Accent 21"/>
    <w:qFormat/>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style>
  <w:style w:type="table" w:customStyle="1" w:styleId="91">
    <w:name w:val="Grid Table 5 Dark - Accent 31"/>
    <w:qFormat/>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style>
  <w:style w:type="table" w:customStyle="1" w:styleId="92">
    <w:name w:val="Grid Table 5 Dark- Accent 4"/>
    <w:qFormat/>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style>
  <w:style w:type="table" w:customStyle="1" w:styleId="93">
    <w:name w:val="Grid Table 5 Dark - Accent 51"/>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style>
  <w:style w:type="table" w:customStyle="1" w:styleId="94">
    <w:name w:val="Grid Table 5 Dark - Accent 61"/>
    <w:qFormat/>
    <w:uiPriority w:val="99"/>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style>
  <w:style w:type="table" w:customStyle="1" w:styleId="95">
    <w:name w:val="Grid Table 6 Colorful1"/>
    <w:qFormat/>
    <w:uiPriority w:val="99"/>
    <w:tblP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top w:w="0" w:type="dxa"/>
        <w:left w:w="108" w:type="dxa"/>
        <w:bottom w:w="0" w:type="dxa"/>
        <w:right w:w="108" w:type="dxa"/>
      </w:tblCellMar>
    </w:tblPr>
  </w:style>
  <w:style w:type="table" w:customStyle="1" w:styleId="96">
    <w:name w:val="Grid Table 6 Colorful - Accent 11"/>
    <w:qFormat/>
    <w:uiPriority w:val="99"/>
    <w:tblPr>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top w:w="0" w:type="dxa"/>
        <w:left w:w="108" w:type="dxa"/>
        <w:bottom w:w="0" w:type="dxa"/>
        <w:right w:w="108" w:type="dxa"/>
      </w:tblCellMar>
    </w:tblPr>
  </w:style>
  <w:style w:type="table" w:customStyle="1" w:styleId="97">
    <w:name w:val="Grid Table 6 Colorful - Accent 21"/>
    <w:qFormat/>
    <w:uiPriority w:val="99"/>
    <w:tblPr>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top w:w="0" w:type="dxa"/>
        <w:left w:w="108" w:type="dxa"/>
        <w:bottom w:w="0" w:type="dxa"/>
        <w:right w:w="108" w:type="dxa"/>
      </w:tblCellMar>
    </w:tblPr>
  </w:style>
  <w:style w:type="table" w:customStyle="1" w:styleId="98">
    <w:name w:val="Grid Table 6 Colorful - Accent 31"/>
    <w:qFormat/>
    <w:uiPriority w:val="99"/>
    <w:tblPr>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top w:w="0" w:type="dxa"/>
        <w:left w:w="108" w:type="dxa"/>
        <w:bottom w:w="0" w:type="dxa"/>
        <w:right w:w="108" w:type="dxa"/>
      </w:tblCellMar>
    </w:tblPr>
  </w:style>
  <w:style w:type="table" w:customStyle="1" w:styleId="99">
    <w:name w:val="Grid Table 6 Colorful - Accent 41"/>
    <w:qFormat/>
    <w:uiPriority w:val="99"/>
    <w:tblPr>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top w:w="0" w:type="dxa"/>
        <w:left w:w="108" w:type="dxa"/>
        <w:bottom w:w="0" w:type="dxa"/>
        <w:right w:w="108" w:type="dxa"/>
      </w:tblCellMar>
    </w:tblPr>
  </w:style>
  <w:style w:type="table" w:customStyle="1" w:styleId="100">
    <w:name w:val="Grid Table 6 Colorful - Accent 51"/>
    <w:qFormat/>
    <w:uiPriority w:val="99"/>
    <w:tblPr>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top w:w="0" w:type="dxa"/>
        <w:left w:w="108" w:type="dxa"/>
        <w:bottom w:w="0" w:type="dxa"/>
        <w:right w:w="108" w:type="dxa"/>
      </w:tblCellMar>
    </w:tblPr>
  </w:style>
  <w:style w:type="table" w:customStyle="1" w:styleId="101">
    <w:name w:val="Grid Table 6 Colorful - Accent 61"/>
    <w:qFormat/>
    <w:uiPriority w:val="99"/>
    <w:tblPr>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top w:w="0" w:type="dxa"/>
        <w:left w:w="108" w:type="dxa"/>
        <w:bottom w:w="0" w:type="dxa"/>
        <w:right w:w="108" w:type="dxa"/>
      </w:tblCellMar>
    </w:tblPr>
  </w:style>
  <w:style w:type="table" w:customStyle="1" w:styleId="102">
    <w:name w:val="Grid Table 7 Colorful1"/>
    <w:qFormat/>
    <w:uiPriority w:val="99"/>
    <w:tblPr>
      <w:tblBorders>
        <w:bottom w:val="single" w:color="7F7F7F" w:sz="4" w:space="0"/>
        <w:right w:val="single" w:color="7F7F7F" w:sz="4" w:space="0"/>
        <w:insideH w:val="single" w:color="7F7F7F" w:sz="4" w:space="0"/>
        <w:insideV w:val="single" w:color="7F7F7F" w:sz="4" w:space="0"/>
      </w:tblBorders>
      <w:tblCellMar>
        <w:top w:w="0" w:type="dxa"/>
        <w:left w:w="108" w:type="dxa"/>
        <w:bottom w:w="0" w:type="dxa"/>
        <w:right w:w="108" w:type="dxa"/>
      </w:tblCellMar>
    </w:tblPr>
  </w:style>
  <w:style w:type="table" w:customStyle="1" w:styleId="103">
    <w:name w:val="Grid Table 7 Colorful - Accent 11"/>
    <w:qFormat/>
    <w:uiPriority w:val="99"/>
    <w:tblPr>
      <w:tblBorders>
        <w:bottom w:val="single" w:color="A6BFDD" w:sz="4" w:space="0"/>
        <w:right w:val="single" w:color="A6BFDD" w:sz="4" w:space="0"/>
        <w:insideH w:val="single" w:color="A6BFDD" w:sz="4" w:space="0"/>
        <w:insideV w:val="single" w:color="A6BFDD" w:sz="4" w:space="0"/>
      </w:tblBorders>
      <w:tblCellMar>
        <w:top w:w="0" w:type="dxa"/>
        <w:left w:w="108" w:type="dxa"/>
        <w:bottom w:w="0" w:type="dxa"/>
        <w:right w:w="108" w:type="dxa"/>
      </w:tblCellMar>
    </w:tblPr>
  </w:style>
  <w:style w:type="table" w:customStyle="1" w:styleId="104">
    <w:name w:val="Grid Table 7 Colorful - Accent 21"/>
    <w:uiPriority w:val="99"/>
    <w:tblPr>
      <w:tblBorders>
        <w:bottom w:val="single" w:color="D99695" w:sz="4" w:space="0"/>
        <w:right w:val="single" w:color="D99695" w:sz="4" w:space="0"/>
        <w:insideH w:val="single" w:color="D99695" w:sz="4" w:space="0"/>
        <w:insideV w:val="single" w:color="D99695" w:sz="4" w:space="0"/>
      </w:tblBorders>
      <w:tblCellMar>
        <w:top w:w="0" w:type="dxa"/>
        <w:left w:w="108" w:type="dxa"/>
        <w:bottom w:w="0" w:type="dxa"/>
        <w:right w:w="108" w:type="dxa"/>
      </w:tblCellMar>
    </w:tblPr>
  </w:style>
  <w:style w:type="table" w:customStyle="1" w:styleId="105">
    <w:name w:val="Grid Table 7 Colorful - Accent 31"/>
    <w:qFormat/>
    <w:uiPriority w:val="99"/>
    <w:tblPr>
      <w:tblBorders>
        <w:bottom w:val="single" w:color="9ABB59" w:sz="4" w:space="0"/>
        <w:right w:val="single" w:color="9ABB59" w:sz="4" w:space="0"/>
        <w:insideH w:val="single" w:color="9ABB59" w:sz="4" w:space="0"/>
        <w:insideV w:val="single" w:color="9ABB59" w:sz="4" w:space="0"/>
      </w:tblBorders>
      <w:tblCellMar>
        <w:top w:w="0" w:type="dxa"/>
        <w:left w:w="108" w:type="dxa"/>
        <w:bottom w:w="0" w:type="dxa"/>
        <w:right w:w="108" w:type="dxa"/>
      </w:tblCellMar>
    </w:tblPr>
  </w:style>
  <w:style w:type="table" w:customStyle="1" w:styleId="106">
    <w:name w:val="Grid Table 7 Colorful - Accent 41"/>
    <w:qFormat/>
    <w:uiPriority w:val="99"/>
    <w:tblPr>
      <w:tblBorders>
        <w:bottom w:val="single" w:color="B2A1C6" w:sz="4" w:space="0"/>
        <w:right w:val="single" w:color="B2A1C6" w:sz="4" w:space="0"/>
        <w:insideH w:val="single" w:color="B2A1C6" w:sz="4" w:space="0"/>
        <w:insideV w:val="single" w:color="B2A1C6" w:sz="4" w:space="0"/>
      </w:tblBorders>
      <w:tblCellMar>
        <w:top w:w="0" w:type="dxa"/>
        <w:left w:w="108" w:type="dxa"/>
        <w:bottom w:w="0" w:type="dxa"/>
        <w:right w:w="108" w:type="dxa"/>
      </w:tblCellMar>
    </w:tblPr>
  </w:style>
  <w:style w:type="table" w:customStyle="1" w:styleId="107">
    <w:name w:val="Grid Table 7 Colorful - Accent 51"/>
    <w:qFormat/>
    <w:uiPriority w:val="99"/>
    <w:tblPr>
      <w:tblBorders>
        <w:bottom w:val="single" w:color="99D0DE" w:sz="4" w:space="0"/>
        <w:right w:val="single" w:color="99D0DE" w:sz="4" w:space="0"/>
        <w:insideH w:val="single" w:color="99D0DE" w:sz="4" w:space="0"/>
        <w:insideV w:val="single" w:color="99D0DE" w:sz="4" w:space="0"/>
      </w:tblBorders>
      <w:tblCellMar>
        <w:top w:w="0" w:type="dxa"/>
        <w:left w:w="108" w:type="dxa"/>
        <w:bottom w:w="0" w:type="dxa"/>
        <w:right w:w="108" w:type="dxa"/>
      </w:tblCellMar>
    </w:tblPr>
  </w:style>
  <w:style w:type="table" w:customStyle="1" w:styleId="108">
    <w:name w:val="Grid Table 7 Colorful - Accent 61"/>
    <w:qFormat/>
    <w:uiPriority w:val="99"/>
    <w:tblPr>
      <w:tblBorders>
        <w:bottom w:val="single" w:color="FAC396" w:sz="4" w:space="0"/>
        <w:right w:val="single" w:color="FAC396" w:sz="4" w:space="0"/>
        <w:insideH w:val="single" w:color="FAC396" w:sz="4" w:space="0"/>
        <w:insideV w:val="single" w:color="FAC396" w:sz="4" w:space="0"/>
      </w:tblBorders>
      <w:tblCellMar>
        <w:top w:w="0" w:type="dxa"/>
        <w:left w:w="108" w:type="dxa"/>
        <w:bottom w:w="0" w:type="dxa"/>
        <w:right w:w="108" w:type="dxa"/>
      </w:tblCellMar>
    </w:tblPr>
  </w:style>
  <w:style w:type="table" w:customStyle="1" w:styleId="109">
    <w:name w:val="List Table 1 Light1"/>
    <w:qFormat/>
    <w:uiPriority w:val="99"/>
    <w:tblPr>
      <w:tblCellMar>
        <w:top w:w="0" w:type="dxa"/>
        <w:left w:w="108" w:type="dxa"/>
        <w:bottom w:w="0" w:type="dxa"/>
        <w:right w:w="108" w:type="dxa"/>
      </w:tblCellMar>
    </w:tblPr>
  </w:style>
  <w:style w:type="table" w:customStyle="1" w:styleId="110">
    <w:name w:val="List Table 1 Light - Accent 11"/>
    <w:uiPriority w:val="99"/>
    <w:tblPr>
      <w:tblCellMar>
        <w:top w:w="0" w:type="dxa"/>
        <w:left w:w="108" w:type="dxa"/>
        <w:bottom w:w="0" w:type="dxa"/>
        <w:right w:w="108" w:type="dxa"/>
      </w:tblCellMar>
    </w:tblPr>
  </w:style>
  <w:style w:type="table" w:customStyle="1" w:styleId="111">
    <w:name w:val="List Table 1 Light - Accent 21"/>
    <w:qFormat/>
    <w:uiPriority w:val="99"/>
    <w:tblPr>
      <w:tblCellMar>
        <w:top w:w="0" w:type="dxa"/>
        <w:left w:w="108" w:type="dxa"/>
        <w:bottom w:w="0" w:type="dxa"/>
        <w:right w:w="108" w:type="dxa"/>
      </w:tblCellMar>
    </w:tblPr>
  </w:style>
  <w:style w:type="table" w:customStyle="1" w:styleId="112">
    <w:name w:val="List Table 1 Light - Accent 31"/>
    <w:qFormat/>
    <w:uiPriority w:val="99"/>
    <w:tblPr>
      <w:tblCellMar>
        <w:top w:w="0" w:type="dxa"/>
        <w:left w:w="108" w:type="dxa"/>
        <w:bottom w:w="0" w:type="dxa"/>
        <w:right w:w="108" w:type="dxa"/>
      </w:tblCellMar>
    </w:tblPr>
  </w:style>
  <w:style w:type="table" w:customStyle="1" w:styleId="113">
    <w:name w:val="List Table 1 Light - Accent 41"/>
    <w:qFormat/>
    <w:uiPriority w:val="99"/>
    <w:tblPr>
      <w:tblCellMar>
        <w:top w:w="0" w:type="dxa"/>
        <w:left w:w="108" w:type="dxa"/>
        <w:bottom w:w="0" w:type="dxa"/>
        <w:right w:w="108" w:type="dxa"/>
      </w:tblCellMar>
    </w:tblPr>
  </w:style>
  <w:style w:type="table" w:customStyle="1" w:styleId="114">
    <w:name w:val="List Table 1 Light - Accent 51"/>
    <w:qFormat/>
    <w:uiPriority w:val="99"/>
    <w:tblPr>
      <w:tblCellMar>
        <w:top w:w="0" w:type="dxa"/>
        <w:left w:w="108" w:type="dxa"/>
        <w:bottom w:w="0" w:type="dxa"/>
        <w:right w:w="108" w:type="dxa"/>
      </w:tblCellMar>
    </w:tblPr>
  </w:style>
  <w:style w:type="table" w:customStyle="1" w:styleId="115">
    <w:name w:val="List Table 1 Light - Accent 61"/>
    <w:qFormat/>
    <w:uiPriority w:val="99"/>
    <w:tblPr>
      <w:tblCellMar>
        <w:top w:w="0" w:type="dxa"/>
        <w:left w:w="108" w:type="dxa"/>
        <w:bottom w:w="0" w:type="dxa"/>
        <w:right w:w="108" w:type="dxa"/>
      </w:tblCellMar>
    </w:tblPr>
  </w:style>
  <w:style w:type="table" w:customStyle="1" w:styleId="116">
    <w:name w:val="List Table 21"/>
    <w:qFormat/>
    <w:uiPriority w:val="99"/>
    <w:tblPr>
      <w:tblBorders>
        <w:top w:val="single" w:color="6F6F6F" w:sz="4" w:space="0"/>
        <w:bottom w:val="single" w:color="6F6F6F" w:sz="4" w:space="0"/>
        <w:insideH w:val="single" w:color="6F6F6F" w:sz="4" w:space="0"/>
      </w:tblBorders>
      <w:tblCellMar>
        <w:top w:w="0" w:type="dxa"/>
        <w:left w:w="108" w:type="dxa"/>
        <w:bottom w:w="0" w:type="dxa"/>
        <w:right w:w="108" w:type="dxa"/>
      </w:tblCellMar>
    </w:tblPr>
  </w:style>
  <w:style w:type="table" w:customStyle="1" w:styleId="117">
    <w:name w:val="List Table 2 - Accent 11"/>
    <w:qFormat/>
    <w:uiPriority w:val="99"/>
    <w:tblPr>
      <w:tblBorders>
        <w:top w:val="single" w:color="9BB7D9" w:sz="4" w:space="0"/>
        <w:bottom w:val="single" w:color="9BB7D9" w:sz="4" w:space="0"/>
        <w:insideH w:val="single" w:color="9BB7D9" w:sz="4" w:space="0"/>
      </w:tblBorders>
      <w:tblCellMar>
        <w:top w:w="0" w:type="dxa"/>
        <w:left w:w="108" w:type="dxa"/>
        <w:bottom w:w="0" w:type="dxa"/>
        <w:right w:w="108" w:type="dxa"/>
      </w:tblCellMar>
    </w:tblPr>
  </w:style>
  <w:style w:type="table" w:customStyle="1" w:styleId="118">
    <w:name w:val="List Table 2 - Accent 21"/>
    <w:qFormat/>
    <w:uiPriority w:val="99"/>
    <w:tblPr>
      <w:tblBorders>
        <w:top w:val="single" w:color="DB9B9A" w:sz="4" w:space="0"/>
        <w:bottom w:val="single" w:color="DB9B9A" w:sz="4" w:space="0"/>
        <w:insideH w:val="single" w:color="DB9B9A" w:sz="4" w:space="0"/>
      </w:tblBorders>
      <w:tblCellMar>
        <w:top w:w="0" w:type="dxa"/>
        <w:left w:w="108" w:type="dxa"/>
        <w:bottom w:w="0" w:type="dxa"/>
        <w:right w:w="108" w:type="dxa"/>
      </w:tblCellMar>
    </w:tblPr>
  </w:style>
  <w:style w:type="table" w:customStyle="1" w:styleId="119">
    <w:name w:val="List Table 2 - Accent 31"/>
    <w:qFormat/>
    <w:uiPriority w:val="99"/>
    <w:tblPr>
      <w:tblBorders>
        <w:top w:val="single" w:color="C6D8A1" w:sz="4" w:space="0"/>
        <w:bottom w:val="single" w:color="C6D8A1" w:sz="4" w:space="0"/>
        <w:insideH w:val="single" w:color="C6D8A1" w:sz="4" w:space="0"/>
      </w:tblBorders>
      <w:tblCellMar>
        <w:top w:w="0" w:type="dxa"/>
        <w:left w:w="108" w:type="dxa"/>
        <w:bottom w:w="0" w:type="dxa"/>
        <w:right w:w="108" w:type="dxa"/>
      </w:tblCellMar>
    </w:tblPr>
  </w:style>
  <w:style w:type="table" w:customStyle="1" w:styleId="120">
    <w:name w:val="List Table 2 - Accent 41"/>
    <w:qFormat/>
    <w:uiPriority w:val="99"/>
    <w:tblPr>
      <w:tblBorders>
        <w:top w:val="single" w:color="B7A7CA" w:sz="4" w:space="0"/>
        <w:bottom w:val="single" w:color="B7A7CA" w:sz="4" w:space="0"/>
        <w:insideH w:val="single" w:color="B7A7CA" w:sz="4" w:space="0"/>
      </w:tblBorders>
      <w:tblCellMar>
        <w:top w:w="0" w:type="dxa"/>
        <w:left w:w="108" w:type="dxa"/>
        <w:bottom w:w="0" w:type="dxa"/>
        <w:right w:w="108" w:type="dxa"/>
      </w:tblCellMar>
    </w:tblPr>
  </w:style>
  <w:style w:type="table" w:customStyle="1" w:styleId="121">
    <w:name w:val="List Table 2 - Accent 51"/>
    <w:qFormat/>
    <w:uiPriority w:val="99"/>
    <w:tblPr>
      <w:tblBorders>
        <w:top w:val="single" w:color="99D0DE" w:sz="4" w:space="0"/>
        <w:bottom w:val="single" w:color="99D0DE" w:sz="4" w:space="0"/>
        <w:insideH w:val="single" w:color="99D0DE" w:sz="4" w:space="0"/>
      </w:tblBorders>
      <w:tblCellMar>
        <w:top w:w="0" w:type="dxa"/>
        <w:left w:w="108" w:type="dxa"/>
        <w:bottom w:w="0" w:type="dxa"/>
        <w:right w:w="108" w:type="dxa"/>
      </w:tblCellMar>
    </w:tblPr>
  </w:style>
  <w:style w:type="table" w:customStyle="1" w:styleId="122">
    <w:name w:val="List Table 2 - Accent 61"/>
    <w:qFormat/>
    <w:uiPriority w:val="99"/>
    <w:tblPr>
      <w:tblBorders>
        <w:top w:val="single" w:color="FAC396" w:sz="4" w:space="0"/>
        <w:bottom w:val="single" w:color="FAC396" w:sz="4" w:space="0"/>
        <w:insideH w:val="single" w:color="FAC396" w:sz="4" w:space="0"/>
      </w:tblBorders>
      <w:tblCellMar>
        <w:top w:w="0" w:type="dxa"/>
        <w:left w:w="108" w:type="dxa"/>
        <w:bottom w:w="0" w:type="dxa"/>
        <w:right w:w="108" w:type="dxa"/>
      </w:tblCellMar>
    </w:tblPr>
  </w:style>
  <w:style w:type="table" w:customStyle="1" w:styleId="123">
    <w:name w:val="List Table 31"/>
    <w:qFormat/>
    <w:uiPriority w:val="99"/>
    <w:tblPr>
      <w:tblBorders>
        <w:top w:val="single" w:color="000000" w:sz="4" w:space="0"/>
        <w:left w:val="single" w:color="000000" w:sz="4" w:space="0"/>
        <w:bottom w:val="single" w:color="000000" w:sz="4" w:space="0"/>
        <w:right w:val="single" w:color="000000" w:sz="4" w:space="0"/>
      </w:tblBorders>
      <w:tblCellMar>
        <w:top w:w="0" w:type="dxa"/>
        <w:left w:w="108" w:type="dxa"/>
        <w:bottom w:w="0" w:type="dxa"/>
        <w:right w:w="108" w:type="dxa"/>
      </w:tblCellMar>
    </w:tblPr>
  </w:style>
  <w:style w:type="table" w:customStyle="1" w:styleId="124">
    <w:name w:val="List Table 3 - Accent 11"/>
    <w:qFormat/>
    <w:uiPriority w:val="99"/>
    <w:tblPr>
      <w:tblBorders>
        <w:top w:val="single" w:color="4F81BD" w:sz="4" w:space="0"/>
        <w:left w:val="single" w:color="4F81BD" w:sz="4" w:space="0"/>
        <w:bottom w:val="single" w:color="4F81BD" w:sz="4" w:space="0"/>
        <w:right w:val="single" w:color="4F81BD" w:sz="4" w:space="0"/>
      </w:tblBorders>
      <w:tblCellMar>
        <w:top w:w="0" w:type="dxa"/>
        <w:left w:w="108" w:type="dxa"/>
        <w:bottom w:w="0" w:type="dxa"/>
        <w:right w:w="108" w:type="dxa"/>
      </w:tblCellMar>
    </w:tblPr>
  </w:style>
  <w:style w:type="table" w:customStyle="1" w:styleId="125">
    <w:name w:val="List Table 3 - Accent 21"/>
    <w:qFormat/>
    <w:uiPriority w:val="99"/>
    <w:tblPr>
      <w:tblBorders>
        <w:top w:val="single" w:color="D99695" w:sz="4" w:space="0"/>
        <w:left w:val="single" w:color="D99695" w:sz="4" w:space="0"/>
        <w:bottom w:val="single" w:color="D99695" w:sz="4" w:space="0"/>
        <w:right w:val="single" w:color="D99695" w:sz="4" w:space="0"/>
      </w:tblBorders>
      <w:tblCellMar>
        <w:top w:w="0" w:type="dxa"/>
        <w:left w:w="108" w:type="dxa"/>
        <w:bottom w:w="0" w:type="dxa"/>
        <w:right w:w="108" w:type="dxa"/>
      </w:tblCellMar>
    </w:tblPr>
  </w:style>
  <w:style w:type="table" w:customStyle="1" w:styleId="126">
    <w:name w:val="List Table 3 - Accent 31"/>
    <w:qFormat/>
    <w:uiPriority w:val="99"/>
    <w:tblPr>
      <w:tblBorders>
        <w:top w:val="single" w:color="C3D69B" w:sz="4" w:space="0"/>
        <w:left w:val="single" w:color="C3D69B" w:sz="4" w:space="0"/>
        <w:bottom w:val="single" w:color="C3D69B" w:sz="4" w:space="0"/>
        <w:right w:val="single" w:color="C3D69B" w:sz="4" w:space="0"/>
      </w:tblBorders>
      <w:tblCellMar>
        <w:top w:w="0" w:type="dxa"/>
        <w:left w:w="108" w:type="dxa"/>
        <w:bottom w:w="0" w:type="dxa"/>
        <w:right w:w="108" w:type="dxa"/>
      </w:tblCellMar>
    </w:tblPr>
  </w:style>
  <w:style w:type="table" w:customStyle="1" w:styleId="127">
    <w:name w:val="List Table 3 - Accent 41"/>
    <w:qFormat/>
    <w:uiPriority w:val="99"/>
    <w:tblPr>
      <w:tblBorders>
        <w:top w:val="single" w:color="B2A1C6" w:sz="4" w:space="0"/>
        <w:left w:val="single" w:color="B2A1C6" w:sz="4" w:space="0"/>
        <w:bottom w:val="single" w:color="B2A1C6" w:sz="4" w:space="0"/>
        <w:right w:val="single" w:color="B2A1C6" w:sz="4" w:space="0"/>
      </w:tblBorders>
      <w:tblCellMar>
        <w:top w:w="0" w:type="dxa"/>
        <w:left w:w="108" w:type="dxa"/>
        <w:bottom w:w="0" w:type="dxa"/>
        <w:right w:w="108" w:type="dxa"/>
      </w:tblCellMar>
    </w:tblPr>
  </w:style>
  <w:style w:type="table" w:customStyle="1" w:styleId="128">
    <w:name w:val="List Table 3 - Accent 51"/>
    <w:qFormat/>
    <w:uiPriority w:val="99"/>
    <w:tblPr>
      <w:tblBorders>
        <w:top w:val="single" w:color="92CCDC" w:sz="4" w:space="0"/>
        <w:left w:val="single" w:color="92CCDC" w:sz="4" w:space="0"/>
        <w:bottom w:val="single" w:color="92CCDC" w:sz="4" w:space="0"/>
        <w:right w:val="single" w:color="92CCDC" w:sz="4" w:space="0"/>
      </w:tblBorders>
      <w:tblCellMar>
        <w:top w:w="0" w:type="dxa"/>
        <w:left w:w="108" w:type="dxa"/>
        <w:bottom w:w="0" w:type="dxa"/>
        <w:right w:w="108" w:type="dxa"/>
      </w:tblCellMar>
    </w:tblPr>
  </w:style>
  <w:style w:type="table" w:customStyle="1" w:styleId="129">
    <w:name w:val="List Table 3 - Accent 61"/>
    <w:qFormat/>
    <w:uiPriority w:val="99"/>
    <w:tblPr>
      <w:tblBorders>
        <w:top w:val="single" w:color="FAC090" w:sz="4" w:space="0"/>
        <w:left w:val="single" w:color="FAC090" w:sz="4" w:space="0"/>
        <w:bottom w:val="single" w:color="FAC090" w:sz="4" w:space="0"/>
        <w:right w:val="single" w:color="FAC090" w:sz="4" w:space="0"/>
      </w:tblBorders>
      <w:tblCellMar>
        <w:top w:w="0" w:type="dxa"/>
        <w:left w:w="108" w:type="dxa"/>
        <w:bottom w:w="0" w:type="dxa"/>
        <w:right w:w="108" w:type="dxa"/>
      </w:tblCellMar>
    </w:tblPr>
  </w:style>
  <w:style w:type="table" w:customStyle="1" w:styleId="130">
    <w:name w:val="List Table 41"/>
    <w:qFormat/>
    <w:uiPriority w:val="99"/>
    <w:tblPr>
      <w:tblBorders>
        <w:top w:val="single" w:color="000000" w:sz="4" w:space="0"/>
        <w:left w:val="single" w:color="000000" w:sz="4" w:space="0"/>
        <w:bottom w:val="single" w:color="000000" w:sz="4" w:space="0"/>
        <w:right w:val="single" w:color="000000" w:sz="4" w:space="0"/>
        <w:insideH w:val="single" w:color="000000" w:sz="4" w:space="0"/>
      </w:tblBorders>
      <w:tblCellMar>
        <w:top w:w="0" w:type="dxa"/>
        <w:left w:w="108" w:type="dxa"/>
        <w:bottom w:w="0" w:type="dxa"/>
        <w:right w:w="108" w:type="dxa"/>
      </w:tblCellMar>
    </w:tblPr>
  </w:style>
  <w:style w:type="table" w:customStyle="1" w:styleId="131">
    <w:name w:val="List Table 4 - Accent 11"/>
    <w:qFormat/>
    <w:uiPriority w:val="99"/>
    <w:tblPr>
      <w:tblBorders>
        <w:top w:val="single" w:color="9BB7D9" w:sz="4" w:space="0"/>
        <w:left w:val="single" w:color="9BB7D9" w:sz="4" w:space="0"/>
        <w:bottom w:val="single" w:color="9BB7D9" w:sz="4" w:space="0"/>
        <w:right w:val="single" w:color="9BB7D9" w:sz="4" w:space="0"/>
        <w:insideH w:val="single" w:color="9BB7D9" w:sz="4" w:space="0"/>
      </w:tblBorders>
      <w:tblCellMar>
        <w:top w:w="0" w:type="dxa"/>
        <w:left w:w="108" w:type="dxa"/>
        <w:bottom w:w="0" w:type="dxa"/>
        <w:right w:w="108" w:type="dxa"/>
      </w:tblCellMar>
    </w:tblPr>
  </w:style>
  <w:style w:type="table" w:customStyle="1" w:styleId="132">
    <w:name w:val="List Table 4 - Accent 21"/>
    <w:qFormat/>
    <w:uiPriority w:val="99"/>
    <w:tblPr>
      <w:tblBorders>
        <w:top w:val="single" w:color="DB9B9A" w:sz="4" w:space="0"/>
        <w:left w:val="single" w:color="DB9B9A" w:sz="4" w:space="0"/>
        <w:bottom w:val="single" w:color="DB9B9A" w:sz="4" w:space="0"/>
        <w:right w:val="single" w:color="DB9B9A" w:sz="4" w:space="0"/>
        <w:insideH w:val="single" w:color="DB9B9A" w:sz="4" w:space="0"/>
      </w:tblBorders>
      <w:tblCellMar>
        <w:top w:w="0" w:type="dxa"/>
        <w:left w:w="108" w:type="dxa"/>
        <w:bottom w:w="0" w:type="dxa"/>
        <w:right w:w="108" w:type="dxa"/>
      </w:tblCellMar>
    </w:tblPr>
  </w:style>
  <w:style w:type="table" w:customStyle="1" w:styleId="133">
    <w:name w:val="List Table 4 - Accent 31"/>
    <w:qFormat/>
    <w:uiPriority w:val="99"/>
    <w:tblPr>
      <w:tblBorders>
        <w:top w:val="single" w:color="C6D8A1" w:sz="4" w:space="0"/>
        <w:left w:val="single" w:color="C6D8A1" w:sz="4" w:space="0"/>
        <w:bottom w:val="single" w:color="C6D8A1" w:sz="4" w:space="0"/>
        <w:right w:val="single" w:color="C6D8A1" w:sz="4" w:space="0"/>
        <w:insideH w:val="single" w:color="C6D8A1" w:sz="4" w:space="0"/>
      </w:tblBorders>
      <w:tblCellMar>
        <w:top w:w="0" w:type="dxa"/>
        <w:left w:w="108" w:type="dxa"/>
        <w:bottom w:w="0" w:type="dxa"/>
        <w:right w:w="108" w:type="dxa"/>
      </w:tblCellMar>
    </w:tblPr>
  </w:style>
  <w:style w:type="table" w:customStyle="1" w:styleId="134">
    <w:name w:val="List Table 4 - Accent 41"/>
    <w:qFormat/>
    <w:uiPriority w:val="99"/>
    <w:tblPr>
      <w:tblBorders>
        <w:top w:val="single" w:color="B7A7CA" w:sz="4" w:space="0"/>
        <w:left w:val="single" w:color="B7A7CA" w:sz="4" w:space="0"/>
        <w:bottom w:val="single" w:color="B7A7CA" w:sz="4" w:space="0"/>
        <w:right w:val="single" w:color="B7A7CA" w:sz="4" w:space="0"/>
        <w:insideH w:val="single" w:color="B7A7CA" w:sz="4" w:space="0"/>
      </w:tblBorders>
      <w:tblCellMar>
        <w:top w:w="0" w:type="dxa"/>
        <w:left w:w="108" w:type="dxa"/>
        <w:bottom w:w="0" w:type="dxa"/>
        <w:right w:w="108" w:type="dxa"/>
      </w:tblCellMar>
    </w:tblPr>
  </w:style>
  <w:style w:type="table" w:customStyle="1" w:styleId="135">
    <w:name w:val="List Table 4 - Accent 51"/>
    <w:qFormat/>
    <w:uiPriority w:val="99"/>
    <w:tblPr>
      <w:tblBorders>
        <w:top w:val="single" w:color="99D0DE" w:sz="4" w:space="0"/>
        <w:left w:val="single" w:color="99D0DE" w:sz="4" w:space="0"/>
        <w:bottom w:val="single" w:color="99D0DE" w:sz="4" w:space="0"/>
        <w:right w:val="single" w:color="99D0DE" w:sz="4" w:space="0"/>
        <w:insideH w:val="single" w:color="99D0DE" w:sz="4" w:space="0"/>
      </w:tblBorders>
      <w:tblCellMar>
        <w:top w:w="0" w:type="dxa"/>
        <w:left w:w="108" w:type="dxa"/>
        <w:bottom w:w="0" w:type="dxa"/>
        <w:right w:w="108" w:type="dxa"/>
      </w:tblCellMar>
    </w:tblPr>
  </w:style>
  <w:style w:type="table" w:customStyle="1" w:styleId="136">
    <w:name w:val="List Table 4 - Accent 61"/>
    <w:qFormat/>
    <w:uiPriority w:val="99"/>
    <w:tblPr>
      <w:tblBorders>
        <w:top w:val="single" w:color="FAC396" w:sz="4" w:space="0"/>
        <w:left w:val="single" w:color="FAC396" w:sz="4" w:space="0"/>
        <w:bottom w:val="single" w:color="FAC396" w:sz="4" w:space="0"/>
        <w:right w:val="single" w:color="FAC396" w:sz="4" w:space="0"/>
        <w:insideH w:val="single" w:color="FAC396" w:sz="4" w:space="0"/>
      </w:tblBorders>
      <w:tblCellMar>
        <w:top w:w="0" w:type="dxa"/>
        <w:left w:w="108" w:type="dxa"/>
        <w:bottom w:w="0" w:type="dxa"/>
        <w:right w:w="108" w:type="dxa"/>
      </w:tblCellMar>
    </w:tblPr>
  </w:style>
  <w:style w:type="table" w:customStyle="1" w:styleId="137">
    <w:name w:val="List Table 5 Dark1"/>
    <w:qFormat/>
    <w:uiPriority w:val="99"/>
    <w:tblPr>
      <w:tblBorders>
        <w:top w:val="single" w:color="7F7F7F" w:sz="32" w:space="0"/>
        <w:left w:val="single" w:color="7F7F7F" w:sz="32" w:space="0"/>
        <w:bottom w:val="single" w:color="7F7F7F" w:sz="32" w:space="0"/>
        <w:right w:val="single" w:color="7F7F7F" w:sz="32" w:space="0"/>
      </w:tblBorders>
      <w:tblCellMar>
        <w:top w:w="0" w:type="dxa"/>
        <w:left w:w="108" w:type="dxa"/>
        <w:bottom w:w="0" w:type="dxa"/>
        <w:right w:w="108" w:type="dxa"/>
      </w:tblCellMar>
    </w:tblPr>
  </w:style>
  <w:style w:type="table" w:customStyle="1" w:styleId="138">
    <w:name w:val="List Table 5 Dark - Accent 11"/>
    <w:qFormat/>
    <w:uiPriority w:val="99"/>
    <w:tblPr>
      <w:tblBorders>
        <w:top w:val="single" w:color="4F81BD" w:sz="32" w:space="0"/>
        <w:left w:val="single" w:color="4F81BD" w:sz="32" w:space="0"/>
        <w:bottom w:val="single" w:color="4F81BD" w:sz="32" w:space="0"/>
        <w:right w:val="single" w:color="4F81BD" w:sz="32" w:space="0"/>
      </w:tblBorders>
      <w:tblCellMar>
        <w:top w:w="0" w:type="dxa"/>
        <w:left w:w="108" w:type="dxa"/>
        <w:bottom w:w="0" w:type="dxa"/>
        <w:right w:w="108" w:type="dxa"/>
      </w:tblCellMar>
    </w:tblPr>
  </w:style>
  <w:style w:type="table" w:customStyle="1" w:styleId="139">
    <w:name w:val="List Table 5 Dark - Accent 21"/>
    <w:qFormat/>
    <w:uiPriority w:val="99"/>
    <w:tblPr>
      <w:tblBorders>
        <w:top w:val="single" w:color="D99695" w:sz="32" w:space="0"/>
        <w:left w:val="single" w:color="D99695" w:sz="32" w:space="0"/>
        <w:bottom w:val="single" w:color="D99695" w:sz="32" w:space="0"/>
        <w:right w:val="single" w:color="D99695" w:sz="32" w:space="0"/>
      </w:tblBorders>
      <w:tblCellMar>
        <w:top w:w="0" w:type="dxa"/>
        <w:left w:w="108" w:type="dxa"/>
        <w:bottom w:w="0" w:type="dxa"/>
        <w:right w:w="108" w:type="dxa"/>
      </w:tblCellMar>
    </w:tblPr>
  </w:style>
  <w:style w:type="table" w:customStyle="1" w:styleId="140">
    <w:name w:val="List Table 5 Dark - Accent 31"/>
    <w:uiPriority w:val="99"/>
    <w:tblPr>
      <w:tblBorders>
        <w:top w:val="single" w:color="C3D69B" w:sz="32" w:space="0"/>
        <w:left w:val="single" w:color="C3D69B" w:sz="32" w:space="0"/>
        <w:bottom w:val="single" w:color="C3D69B" w:sz="32" w:space="0"/>
        <w:right w:val="single" w:color="C3D69B" w:sz="32" w:space="0"/>
      </w:tblBorders>
      <w:tblCellMar>
        <w:top w:w="0" w:type="dxa"/>
        <w:left w:w="108" w:type="dxa"/>
        <w:bottom w:w="0" w:type="dxa"/>
        <w:right w:w="108" w:type="dxa"/>
      </w:tblCellMar>
    </w:tblPr>
  </w:style>
  <w:style w:type="table" w:customStyle="1" w:styleId="141">
    <w:name w:val="List Table 5 Dark - Accent 41"/>
    <w:qFormat/>
    <w:uiPriority w:val="99"/>
    <w:tblPr>
      <w:tblBorders>
        <w:top w:val="single" w:color="B2A1C6" w:sz="32" w:space="0"/>
        <w:left w:val="single" w:color="B2A1C6" w:sz="32" w:space="0"/>
        <w:bottom w:val="single" w:color="B2A1C6" w:sz="32" w:space="0"/>
        <w:right w:val="single" w:color="B2A1C6" w:sz="32" w:space="0"/>
      </w:tblBorders>
      <w:tblCellMar>
        <w:top w:w="0" w:type="dxa"/>
        <w:left w:w="108" w:type="dxa"/>
        <w:bottom w:w="0" w:type="dxa"/>
        <w:right w:w="108" w:type="dxa"/>
      </w:tblCellMar>
    </w:tblPr>
  </w:style>
  <w:style w:type="table" w:customStyle="1" w:styleId="142">
    <w:name w:val="List Table 5 Dark - Accent 51"/>
    <w:qFormat/>
    <w:uiPriority w:val="99"/>
    <w:tblPr>
      <w:tblBorders>
        <w:top w:val="single" w:color="92CCDC" w:sz="32" w:space="0"/>
        <w:left w:val="single" w:color="92CCDC" w:sz="32" w:space="0"/>
        <w:bottom w:val="single" w:color="92CCDC" w:sz="32" w:space="0"/>
        <w:right w:val="single" w:color="92CCDC" w:sz="32" w:space="0"/>
      </w:tblBorders>
      <w:tblCellMar>
        <w:top w:w="0" w:type="dxa"/>
        <w:left w:w="108" w:type="dxa"/>
        <w:bottom w:w="0" w:type="dxa"/>
        <w:right w:w="108" w:type="dxa"/>
      </w:tblCellMar>
    </w:tblPr>
  </w:style>
  <w:style w:type="table" w:customStyle="1" w:styleId="143">
    <w:name w:val="List Table 5 Dark - Accent 61"/>
    <w:qFormat/>
    <w:uiPriority w:val="99"/>
    <w:tblPr>
      <w:tblBorders>
        <w:top w:val="single" w:color="FAC090" w:sz="32" w:space="0"/>
        <w:left w:val="single" w:color="FAC090" w:sz="32" w:space="0"/>
        <w:bottom w:val="single" w:color="FAC090" w:sz="32" w:space="0"/>
        <w:right w:val="single" w:color="FAC090" w:sz="32" w:space="0"/>
      </w:tblBorders>
      <w:tblCellMar>
        <w:top w:w="0" w:type="dxa"/>
        <w:left w:w="108" w:type="dxa"/>
        <w:bottom w:w="0" w:type="dxa"/>
        <w:right w:w="108" w:type="dxa"/>
      </w:tblCellMar>
    </w:tblPr>
  </w:style>
  <w:style w:type="table" w:customStyle="1" w:styleId="144">
    <w:name w:val="List Table 6 Colorful1"/>
    <w:uiPriority w:val="99"/>
    <w:tblPr>
      <w:tblBorders>
        <w:top w:val="single" w:color="7F7F7F" w:sz="4" w:space="0"/>
        <w:bottom w:val="single" w:color="7F7F7F" w:sz="4" w:space="0"/>
      </w:tblBorders>
      <w:tblCellMar>
        <w:top w:w="0" w:type="dxa"/>
        <w:left w:w="108" w:type="dxa"/>
        <w:bottom w:w="0" w:type="dxa"/>
        <w:right w:w="108" w:type="dxa"/>
      </w:tblCellMar>
    </w:tblPr>
  </w:style>
  <w:style w:type="table" w:customStyle="1" w:styleId="145">
    <w:name w:val="List Table 6 Colorful - Accent 11"/>
    <w:uiPriority w:val="99"/>
    <w:tblPr>
      <w:tblBorders>
        <w:top w:val="single" w:color="4F81BD" w:sz="4" w:space="0"/>
        <w:bottom w:val="single" w:color="4F81BD" w:sz="4" w:space="0"/>
      </w:tblBorders>
      <w:tblCellMar>
        <w:top w:w="0" w:type="dxa"/>
        <w:left w:w="108" w:type="dxa"/>
        <w:bottom w:w="0" w:type="dxa"/>
        <w:right w:w="108" w:type="dxa"/>
      </w:tblCellMar>
    </w:tblPr>
  </w:style>
  <w:style w:type="table" w:customStyle="1" w:styleId="146">
    <w:name w:val="List Table 6 Colorful - Accent 21"/>
    <w:qFormat/>
    <w:uiPriority w:val="99"/>
    <w:tblPr>
      <w:tblBorders>
        <w:top w:val="single" w:color="D99695" w:sz="4" w:space="0"/>
        <w:bottom w:val="single" w:color="D99695" w:sz="4" w:space="0"/>
      </w:tblBorders>
      <w:tblCellMar>
        <w:top w:w="0" w:type="dxa"/>
        <w:left w:w="108" w:type="dxa"/>
        <w:bottom w:w="0" w:type="dxa"/>
        <w:right w:w="108" w:type="dxa"/>
      </w:tblCellMar>
    </w:tblPr>
  </w:style>
  <w:style w:type="table" w:customStyle="1" w:styleId="147">
    <w:name w:val="List Table 6 Colorful - Accent 31"/>
    <w:qFormat/>
    <w:uiPriority w:val="99"/>
    <w:tblPr>
      <w:tblBorders>
        <w:top w:val="single" w:color="C3D69B" w:sz="4" w:space="0"/>
        <w:bottom w:val="single" w:color="C3D69B" w:sz="4" w:space="0"/>
      </w:tblBorders>
      <w:tblCellMar>
        <w:top w:w="0" w:type="dxa"/>
        <w:left w:w="108" w:type="dxa"/>
        <w:bottom w:w="0" w:type="dxa"/>
        <w:right w:w="108" w:type="dxa"/>
      </w:tblCellMar>
    </w:tblPr>
  </w:style>
  <w:style w:type="table" w:customStyle="1" w:styleId="148">
    <w:name w:val="List Table 6 Colorful - Accent 41"/>
    <w:qFormat/>
    <w:uiPriority w:val="99"/>
    <w:tblPr>
      <w:tblBorders>
        <w:top w:val="single" w:color="B2A1C6" w:sz="4" w:space="0"/>
        <w:bottom w:val="single" w:color="B2A1C6" w:sz="4" w:space="0"/>
      </w:tblBorders>
      <w:tblCellMar>
        <w:top w:w="0" w:type="dxa"/>
        <w:left w:w="108" w:type="dxa"/>
        <w:bottom w:w="0" w:type="dxa"/>
        <w:right w:w="108" w:type="dxa"/>
      </w:tblCellMar>
    </w:tblPr>
  </w:style>
  <w:style w:type="table" w:customStyle="1" w:styleId="149">
    <w:name w:val="List Table 6 Colorful - Accent 51"/>
    <w:qFormat/>
    <w:uiPriority w:val="99"/>
    <w:tblPr>
      <w:tblBorders>
        <w:top w:val="single" w:color="92CCDC" w:sz="4" w:space="0"/>
        <w:bottom w:val="single" w:color="92CCDC" w:sz="4" w:space="0"/>
      </w:tblBorders>
      <w:tblCellMar>
        <w:top w:w="0" w:type="dxa"/>
        <w:left w:w="108" w:type="dxa"/>
        <w:bottom w:w="0" w:type="dxa"/>
        <w:right w:w="108" w:type="dxa"/>
      </w:tblCellMar>
    </w:tblPr>
  </w:style>
  <w:style w:type="table" w:customStyle="1" w:styleId="150">
    <w:name w:val="List Table 6 Colorful - Accent 61"/>
    <w:qFormat/>
    <w:uiPriority w:val="99"/>
    <w:tblPr>
      <w:tblBorders>
        <w:top w:val="single" w:color="FAC090" w:sz="4" w:space="0"/>
        <w:bottom w:val="single" w:color="FAC090" w:sz="4" w:space="0"/>
      </w:tblBorders>
      <w:tblCellMar>
        <w:top w:w="0" w:type="dxa"/>
        <w:left w:w="108" w:type="dxa"/>
        <w:bottom w:w="0" w:type="dxa"/>
        <w:right w:w="108" w:type="dxa"/>
      </w:tblCellMar>
    </w:tblPr>
  </w:style>
  <w:style w:type="table" w:customStyle="1" w:styleId="151">
    <w:name w:val="List Table 7 Colorful1"/>
    <w:qFormat/>
    <w:uiPriority w:val="99"/>
    <w:tblPr>
      <w:tblBorders>
        <w:right w:val="single" w:color="7F7F7F" w:sz="4" w:space="0"/>
      </w:tblBorders>
      <w:tblCellMar>
        <w:top w:w="0" w:type="dxa"/>
        <w:left w:w="108" w:type="dxa"/>
        <w:bottom w:w="0" w:type="dxa"/>
        <w:right w:w="108" w:type="dxa"/>
      </w:tblCellMar>
    </w:tblPr>
  </w:style>
  <w:style w:type="table" w:customStyle="1" w:styleId="152">
    <w:name w:val="List Table 7 Colorful - Accent 11"/>
    <w:qFormat/>
    <w:uiPriority w:val="99"/>
    <w:tblPr>
      <w:tblBorders>
        <w:right w:val="single" w:color="4F81BD" w:sz="4" w:space="0"/>
      </w:tblBorders>
      <w:tblCellMar>
        <w:top w:w="0" w:type="dxa"/>
        <w:left w:w="108" w:type="dxa"/>
        <w:bottom w:w="0" w:type="dxa"/>
        <w:right w:w="108" w:type="dxa"/>
      </w:tblCellMar>
    </w:tblPr>
  </w:style>
  <w:style w:type="table" w:customStyle="1" w:styleId="153">
    <w:name w:val="List Table 7 Colorful - Accent 21"/>
    <w:qFormat/>
    <w:uiPriority w:val="99"/>
    <w:tblPr>
      <w:tblBorders>
        <w:right w:val="single" w:color="D99695" w:sz="4" w:space="0"/>
      </w:tblBorders>
      <w:tblCellMar>
        <w:top w:w="0" w:type="dxa"/>
        <w:left w:w="108" w:type="dxa"/>
        <w:bottom w:w="0" w:type="dxa"/>
        <w:right w:w="108" w:type="dxa"/>
      </w:tblCellMar>
    </w:tblPr>
  </w:style>
  <w:style w:type="table" w:customStyle="1" w:styleId="154">
    <w:name w:val="List Table 7 Colorful - Accent 31"/>
    <w:uiPriority w:val="99"/>
    <w:tblPr>
      <w:tblBorders>
        <w:right w:val="single" w:color="C3D69B" w:sz="4" w:space="0"/>
      </w:tblBorders>
      <w:tblCellMar>
        <w:top w:w="0" w:type="dxa"/>
        <w:left w:w="108" w:type="dxa"/>
        <w:bottom w:w="0" w:type="dxa"/>
        <w:right w:w="108" w:type="dxa"/>
      </w:tblCellMar>
    </w:tblPr>
  </w:style>
  <w:style w:type="table" w:customStyle="1" w:styleId="155">
    <w:name w:val="List Table 7 Colorful - Accent 41"/>
    <w:qFormat/>
    <w:uiPriority w:val="99"/>
    <w:tblPr>
      <w:tblBorders>
        <w:right w:val="single" w:color="B2A1C6" w:sz="4" w:space="0"/>
      </w:tblBorders>
      <w:tblCellMar>
        <w:top w:w="0" w:type="dxa"/>
        <w:left w:w="108" w:type="dxa"/>
        <w:bottom w:w="0" w:type="dxa"/>
        <w:right w:w="108" w:type="dxa"/>
      </w:tblCellMar>
    </w:tblPr>
  </w:style>
  <w:style w:type="table" w:customStyle="1" w:styleId="156">
    <w:name w:val="List Table 7 Colorful - Accent 51"/>
    <w:qFormat/>
    <w:uiPriority w:val="99"/>
    <w:tblPr>
      <w:tblBorders>
        <w:right w:val="single" w:color="92CCDC" w:sz="4" w:space="0"/>
      </w:tblBorders>
      <w:tblCellMar>
        <w:top w:w="0" w:type="dxa"/>
        <w:left w:w="108" w:type="dxa"/>
        <w:bottom w:w="0" w:type="dxa"/>
        <w:right w:w="108" w:type="dxa"/>
      </w:tblCellMar>
    </w:tblPr>
  </w:style>
  <w:style w:type="table" w:customStyle="1" w:styleId="157">
    <w:name w:val="List Table 7 Colorful - Accent 61"/>
    <w:qFormat/>
    <w:uiPriority w:val="99"/>
    <w:tblPr>
      <w:tblBorders>
        <w:right w:val="single" w:color="FAC090" w:sz="4" w:space="0"/>
      </w:tblBorders>
      <w:tblCellMar>
        <w:top w:w="0" w:type="dxa"/>
        <w:left w:w="108" w:type="dxa"/>
        <w:bottom w:w="0" w:type="dxa"/>
        <w:right w:w="108" w:type="dxa"/>
      </w:tblCellMar>
    </w:tblPr>
  </w:style>
  <w:style w:type="table" w:customStyle="1" w:styleId="158">
    <w:name w:val="Lined - Accent"/>
    <w:qFormat/>
    <w:uiPriority w:val="99"/>
    <w:rPr>
      <w:color w:val="404040"/>
    </w:rPr>
    <w:tblPr>
      <w:tblCellMar>
        <w:top w:w="0" w:type="dxa"/>
        <w:left w:w="108" w:type="dxa"/>
        <w:bottom w:w="0" w:type="dxa"/>
        <w:right w:w="108" w:type="dxa"/>
      </w:tblCellMar>
    </w:tblPr>
  </w:style>
  <w:style w:type="table" w:customStyle="1" w:styleId="159">
    <w:name w:val="Lined - Accent 1"/>
    <w:qFormat/>
    <w:uiPriority w:val="99"/>
    <w:rPr>
      <w:color w:val="404040"/>
    </w:rPr>
    <w:tblPr>
      <w:tblCellMar>
        <w:top w:w="0" w:type="dxa"/>
        <w:left w:w="108" w:type="dxa"/>
        <w:bottom w:w="0" w:type="dxa"/>
        <w:right w:w="108" w:type="dxa"/>
      </w:tblCellMar>
    </w:tblPr>
  </w:style>
  <w:style w:type="table" w:customStyle="1" w:styleId="160">
    <w:name w:val="Lined - Accent 2"/>
    <w:qFormat/>
    <w:uiPriority w:val="99"/>
    <w:rPr>
      <w:color w:val="404040"/>
    </w:rPr>
    <w:tblPr>
      <w:tblCellMar>
        <w:top w:w="0" w:type="dxa"/>
        <w:left w:w="108" w:type="dxa"/>
        <w:bottom w:w="0" w:type="dxa"/>
        <w:right w:w="108" w:type="dxa"/>
      </w:tblCellMar>
    </w:tblPr>
  </w:style>
  <w:style w:type="table" w:customStyle="1" w:styleId="161">
    <w:name w:val="Lined - Accent 3"/>
    <w:qFormat/>
    <w:uiPriority w:val="99"/>
    <w:rPr>
      <w:color w:val="404040"/>
    </w:rPr>
    <w:tblPr>
      <w:tblCellMar>
        <w:top w:w="0" w:type="dxa"/>
        <w:left w:w="108" w:type="dxa"/>
        <w:bottom w:w="0" w:type="dxa"/>
        <w:right w:w="108" w:type="dxa"/>
      </w:tblCellMar>
    </w:tblPr>
  </w:style>
  <w:style w:type="table" w:customStyle="1" w:styleId="162">
    <w:name w:val="Lined - Accent 4"/>
    <w:qFormat/>
    <w:uiPriority w:val="99"/>
    <w:rPr>
      <w:color w:val="404040"/>
    </w:rPr>
    <w:tblPr>
      <w:tblCellMar>
        <w:top w:w="0" w:type="dxa"/>
        <w:left w:w="108" w:type="dxa"/>
        <w:bottom w:w="0" w:type="dxa"/>
        <w:right w:w="108" w:type="dxa"/>
      </w:tblCellMar>
    </w:tblPr>
  </w:style>
  <w:style w:type="table" w:customStyle="1" w:styleId="163">
    <w:name w:val="Lined - Accent 5"/>
    <w:qFormat/>
    <w:uiPriority w:val="99"/>
    <w:rPr>
      <w:color w:val="404040"/>
    </w:rPr>
    <w:tblPr>
      <w:tblCellMar>
        <w:top w:w="0" w:type="dxa"/>
        <w:left w:w="108" w:type="dxa"/>
        <w:bottom w:w="0" w:type="dxa"/>
        <w:right w:w="108" w:type="dxa"/>
      </w:tblCellMar>
    </w:tblPr>
  </w:style>
  <w:style w:type="table" w:customStyle="1" w:styleId="164">
    <w:name w:val="Lined - Accent 6"/>
    <w:qFormat/>
    <w:uiPriority w:val="99"/>
    <w:rPr>
      <w:color w:val="404040"/>
    </w:rPr>
    <w:tblPr>
      <w:tblCellMar>
        <w:top w:w="0" w:type="dxa"/>
        <w:left w:w="108" w:type="dxa"/>
        <w:bottom w:w="0" w:type="dxa"/>
        <w:right w:w="108" w:type="dxa"/>
      </w:tblCellMar>
    </w:tblPr>
  </w:style>
  <w:style w:type="table" w:customStyle="1" w:styleId="165">
    <w:name w:val="Bordered &amp; Lined - Accent"/>
    <w:qFormat/>
    <w:uiPriority w:val="99"/>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top w:w="0" w:type="dxa"/>
        <w:left w:w="108" w:type="dxa"/>
        <w:bottom w:w="0" w:type="dxa"/>
        <w:right w:w="108" w:type="dxa"/>
      </w:tblCellMar>
    </w:tblPr>
  </w:style>
  <w:style w:type="table" w:customStyle="1" w:styleId="166">
    <w:name w:val="Bordered &amp; Lined - Accent 1"/>
    <w:qFormat/>
    <w:uiPriority w:val="99"/>
    <w:rPr>
      <w:color w:val="404040"/>
    </w:rPr>
    <w:tblPr>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top w:w="0" w:type="dxa"/>
        <w:left w:w="108" w:type="dxa"/>
        <w:bottom w:w="0" w:type="dxa"/>
        <w:right w:w="108" w:type="dxa"/>
      </w:tblCellMar>
    </w:tblPr>
  </w:style>
  <w:style w:type="table" w:customStyle="1" w:styleId="167">
    <w:name w:val="Bordered &amp; Lined - Accent 2"/>
    <w:qFormat/>
    <w:uiPriority w:val="99"/>
    <w:rPr>
      <w:color w:val="404040"/>
    </w:rPr>
    <w:tblPr>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top w:w="0" w:type="dxa"/>
        <w:left w:w="108" w:type="dxa"/>
        <w:bottom w:w="0" w:type="dxa"/>
        <w:right w:w="108" w:type="dxa"/>
      </w:tblCellMar>
    </w:tblPr>
  </w:style>
  <w:style w:type="table" w:customStyle="1" w:styleId="168">
    <w:name w:val="Bordered &amp; Lined - Accent 3"/>
    <w:qFormat/>
    <w:uiPriority w:val="99"/>
    <w:rPr>
      <w:color w:val="404040"/>
    </w:rPr>
    <w:tblPr>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top w:w="0" w:type="dxa"/>
        <w:left w:w="108" w:type="dxa"/>
        <w:bottom w:w="0" w:type="dxa"/>
        <w:right w:w="108" w:type="dxa"/>
      </w:tblCellMar>
    </w:tblPr>
  </w:style>
  <w:style w:type="table" w:customStyle="1" w:styleId="169">
    <w:name w:val="Bordered &amp; Lined - Accent 4"/>
    <w:qFormat/>
    <w:uiPriority w:val="99"/>
    <w:rPr>
      <w:color w:val="404040"/>
    </w:rPr>
    <w:tblPr>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top w:w="0" w:type="dxa"/>
        <w:left w:w="108" w:type="dxa"/>
        <w:bottom w:w="0" w:type="dxa"/>
        <w:right w:w="108" w:type="dxa"/>
      </w:tblCellMar>
    </w:tblPr>
  </w:style>
  <w:style w:type="table" w:customStyle="1" w:styleId="170">
    <w:name w:val="Bordered &amp; Lined - Accent 5"/>
    <w:qFormat/>
    <w:uiPriority w:val="99"/>
    <w:rPr>
      <w:color w:val="404040"/>
    </w:rPr>
    <w:tblPr>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CellMar>
        <w:top w:w="0" w:type="dxa"/>
        <w:left w:w="108" w:type="dxa"/>
        <w:bottom w:w="0" w:type="dxa"/>
        <w:right w:w="108" w:type="dxa"/>
      </w:tblCellMar>
    </w:tblPr>
  </w:style>
  <w:style w:type="table" w:customStyle="1" w:styleId="171">
    <w:name w:val="Bordered &amp; Lined - Accent 6"/>
    <w:qFormat/>
    <w:uiPriority w:val="99"/>
    <w:rPr>
      <w:color w:val="404040"/>
    </w:rPr>
    <w:tblPr>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top w:w="0" w:type="dxa"/>
        <w:left w:w="108" w:type="dxa"/>
        <w:bottom w:w="0" w:type="dxa"/>
        <w:right w:w="108" w:type="dxa"/>
      </w:tblCellMar>
    </w:tblPr>
  </w:style>
  <w:style w:type="table" w:customStyle="1" w:styleId="172">
    <w:name w:val="Bordered"/>
    <w:qFormat/>
    <w:uiPriority w:val="99"/>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top w:w="0" w:type="dxa"/>
        <w:left w:w="108" w:type="dxa"/>
        <w:bottom w:w="0" w:type="dxa"/>
        <w:right w:w="108" w:type="dxa"/>
      </w:tblCellMar>
    </w:tblPr>
  </w:style>
  <w:style w:type="table" w:customStyle="1" w:styleId="173">
    <w:name w:val="Bordered - Accent 1"/>
    <w:qFormat/>
    <w:uiPriority w:val="99"/>
    <w:tblPr>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top w:w="0" w:type="dxa"/>
        <w:left w:w="108" w:type="dxa"/>
        <w:bottom w:w="0" w:type="dxa"/>
        <w:right w:w="108" w:type="dxa"/>
      </w:tblCellMar>
    </w:tblPr>
  </w:style>
  <w:style w:type="table" w:customStyle="1" w:styleId="174">
    <w:name w:val="Bordered - Accent 2"/>
    <w:qFormat/>
    <w:uiPriority w:val="99"/>
    <w:tblPr>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top w:w="0" w:type="dxa"/>
        <w:left w:w="108" w:type="dxa"/>
        <w:bottom w:w="0" w:type="dxa"/>
        <w:right w:w="108" w:type="dxa"/>
      </w:tblCellMar>
    </w:tblPr>
  </w:style>
  <w:style w:type="table" w:customStyle="1" w:styleId="175">
    <w:name w:val="Bordered - Accent 3"/>
    <w:qFormat/>
    <w:uiPriority w:val="99"/>
    <w:tblP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top w:w="0" w:type="dxa"/>
        <w:left w:w="108" w:type="dxa"/>
        <w:bottom w:w="0" w:type="dxa"/>
        <w:right w:w="108" w:type="dxa"/>
      </w:tblCellMar>
    </w:tblPr>
  </w:style>
  <w:style w:type="table" w:customStyle="1" w:styleId="176">
    <w:name w:val="Bordered - Accent 4"/>
    <w:qFormat/>
    <w:uiPriority w:val="99"/>
    <w:tblP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top w:w="0" w:type="dxa"/>
        <w:left w:w="108" w:type="dxa"/>
        <w:bottom w:w="0" w:type="dxa"/>
        <w:right w:w="108" w:type="dxa"/>
      </w:tblCellMar>
    </w:tblPr>
  </w:style>
  <w:style w:type="table" w:customStyle="1" w:styleId="177">
    <w:name w:val="Bordered - Accent 5"/>
    <w:qFormat/>
    <w:uiPriority w:val="99"/>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top w:w="0" w:type="dxa"/>
        <w:left w:w="108" w:type="dxa"/>
        <w:bottom w:w="0" w:type="dxa"/>
        <w:right w:w="108" w:type="dxa"/>
      </w:tblCellMar>
    </w:tblPr>
  </w:style>
  <w:style w:type="table" w:customStyle="1" w:styleId="178">
    <w:name w:val="Bordered - Accent 6"/>
    <w:qFormat/>
    <w:uiPriority w:val="99"/>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top w:w="0" w:type="dxa"/>
        <w:left w:w="108" w:type="dxa"/>
        <w:bottom w:w="0" w:type="dxa"/>
        <w:right w:w="108" w:type="dxa"/>
      </w:tblCellMar>
    </w:tblPr>
  </w:style>
  <w:style w:type="character" w:customStyle="1" w:styleId="179">
    <w:name w:val="Footnote Text Char"/>
    <w:link w:val="20"/>
    <w:qFormat/>
    <w:locked/>
    <w:uiPriority w:val="99"/>
    <w:rPr>
      <w:sz w:val="18"/>
    </w:rPr>
  </w:style>
  <w:style w:type="paragraph" w:customStyle="1" w:styleId="180">
    <w:name w:val="TOC Heading1"/>
    <w:basedOn w:val="2"/>
    <w:qFormat/>
    <w:uiPriority w:val="99"/>
    <w:pPr>
      <w:keepNext w:val="0"/>
      <w:keepLines w:val="0"/>
      <w:widowControl/>
      <w:spacing w:before="0" w:line="276" w:lineRule="auto"/>
      <w:outlineLvl w:val="9"/>
    </w:pPr>
    <w:rPr>
      <w:rFonts w:ascii="Calibri" w:hAnsi="Calibri" w:cs="Calibri"/>
      <w:sz w:val="22"/>
      <w:szCs w:val="22"/>
      <w:lang w:eastAsia="en-US"/>
    </w:rPr>
  </w:style>
  <w:style w:type="paragraph" w:styleId="181">
    <w:name w:val="List Paragraph"/>
    <w:basedOn w:val="1"/>
    <w:qFormat/>
    <w:uiPriority w:val="1"/>
    <w:pPr>
      <w:ind w:left="720"/>
      <w:contextualSpacing/>
    </w:pPr>
  </w:style>
  <w:style w:type="character" w:customStyle="1" w:styleId="182">
    <w:name w:val="Footer Char"/>
    <w:link w:val="18"/>
    <w:qFormat/>
    <w:locked/>
    <w:uiPriority w:val="99"/>
    <w:rPr>
      <w:rFonts w:ascii="Times New Roman" w:hAnsi="Times New Roman" w:eastAsia="SimSun" w:cs="Times New Roman"/>
      <w:sz w:val="20"/>
      <w:szCs w:val="20"/>
      <w:lang w:eastAsia="zh-CN"/>
    </w:rPr>
  </w:style>
  <w:style w:type="character" w:customStyle="1" w:styleId="183">
    <w:name w:val="Header Char"/>
    <w:link w:val="21"/>
    <w:qFormat/>
    <w:locked/>
    <w:uiPriority w:val="99"/>
    <w:rPr>
      <w:rFonts w:ascii="Times New Roman" w:hAnsi="Times New Roman" w:eastAsia="SimSun" w:cs="Times New Roman"/>
      <w:sz w:val="20"/>
      <w:szCs w:val="20"/>
      <w:lang w:eastAsia="zh-CN"/>
    </w:rPr>
  </w:style>
  <w:style w:type="character" w:customStyle="1" w:styleId="184">
    <w:name w:val="fontstyle01"/>
    <w:qFormat/>
    <w:uiPriority w:val="0"/>
    <w:rPr>
      <w:rFonts w:ascii="Times New Roman" w:hAnsi="Times New Roman"/>
      <w:color w:val="000000"/>
      <w:sz w:val="28"/>
    </w:rPr>
  </w:style>
  <w:style w:type="character" w:customStyle="1" w:styleId="185">
    <w:name w:val="Body Text Char"/>
    <w:link w:val="14"/>
    <w:qFormat/>
    <w:locked/>
    <w:uiPriority w:val="99"/>
    <w:rPr>
      <w:rFonts w:ascii="Times New Roman" w:hAnsi="Times New Roman" w:eastAsia="SimSun" w:cs="Times New Roman"/>
      <w:sz w:val="20"/>
      <w:szCs w:val="20"/>
      <w:lang w:eastAsia="zh-CN"/>
    </w:rPr>
  </w:style>
  <w:style w:type="character" w:customStyle="1" w:styleId="186">
    <w:name w:val="Balloon Text Char"/>
    <w:link w:val="13"/>
    <w:semiHidden/>
    <w:qFormat/>
    <w:locked/>
    <w:uiPriority w:val="99"/>
    <w:rPr>
      <w:rFonts w:ascii="Tahoma" w:hAnsi="Tahoma" w:eastAsia="SimSun" w:cs="Tahoma"/>
      <w:sz w:val="16"/>
      <w:szCs w:val="16"/>
      <w:lang w:eastAsia="zh-CN"/>
    </w:rPr>
  </w:style>
  <w:style w:type="character" w:customStyle="1" w:styleId="187">
    <w:name w:val="Body Text Indent 2 Char"/>
    <w:link w:val="15"/>
    <w:semiHidden/>
    <w:qFormat/>
    <w:locked/>
    <w:uiPriority w:val="99"/>
    <w:rPr>
      <w:rFonts w:ascii="Times New Roman" w:hAnsi="Times New Roman" w:eastAsia="SimSun" w:cs="Times New Roman"/>
      <w:sz w:val="20"/>
      <w:szCs w:val="20"/>
      <w:lang w:eastAsia="zh-CN"/>
    </w:rPr>
  </w:style>
  <w:style w:type="character" w:customStyle="1" w:styleId="188">
    <w:name w:val="doclink"/>
    <w:qFormat/>
    <w:uiPriority w:val="99"/>
    <w:rPr>
      <w:rFonts w:cs="Times New Roman"/>
    </w:rPr>
  </w:style>
  <w:style w:type="character" w:customStyle="1" w:styleId="189">
    <w:name w:val="Normal (Web) Char"/>
    <w:link w:val="23"/>
    <w:qFormat/>
    <w:uiPriority w:val="99"/>
    <w:rPr>
      <w:rFonts w:ascii="Times New Roman" w:hAnsi="Times New Roman" w:eastAsia="Times New Roman" w:cs="Times New Roman"/>
      <w:sz w:val="24"/>
      <w:szCs w:val="24"/>
    </w:rPr>
  </w:style>
  <w:style w:type="character" w:customStyle="1" w:styleId="190">
    <w:name w:val="Body Text Indent 3 Char"/>
    <w:basedOn w:val="11"/>
    <w:link w:val="16"/>
    <w:qFormat/>
    <w:uiPriority w:val="99"/>
    <w:rPr>
      <w:rFonts w:ascii="Times New Roman" w:hAnsi="Times New Roman" w:eastAsia="Times New Roman" w:cs="Times New Roman"/>
      <w:sz w:val="16"/>
      <w:szCs w:val="16"/>
    </w:rPr>
  </w:style>
  <w:style w:type="paragraph" w:customStyle="1" w:styleId="191">
    <w:name w:val="DOANVB"/>
    <w:basedOn w:val="1"/>
    <w:qFormat/>
    <w:uiPriority w:val="0"/>
    <w:pPr>
      <w:keepLines/>
      <w:widowControl/>
      <w:pBdr>
        <w:top w:val="none" w:color="auto" w:sz="0" w:space="0"/>
        <w:left w:val="none" w:color="auto" w:sz="0" w:space="0"/>
        <w:bottom w:val="none" w:color="auto" w:sz="0" w:space="0"/>
        <w:right w:val="none" w:color="auto" w:sz="0" w:space="0"/>
        <w:between w:val="none" w:color="auto" w:sz="0" w:space="0"/>
      </w:pBdr>
      <w:shd w:val="clear" w:color="auto" w:fill="FFFFFF"/>
      <w:spacing w:before="120" w:after="120" w:line="312" w:lineRule="auto"/>
      <w:ind w:firstLine="561"/>
      <w:jc w:val="both"/>
      <w:outlineLvl w:val="0"/>
    </w:pPr>
    <w:rPr>
      <w:rFonts w:eastAsia="Times New Roman"/>
      <w:bCs/>
      <w:color w:val="000000"/>
      <w:kern w:val="36"/>
      <w:sz w:val="28"/>
      <w:szCs w:val="28"/>
      <w:lang w:eastAsia="en-US"/>
    </w:rPr>
  </w:style>
  <w:style w:type="character" w:customStyle="1" w:styleId="192">
    <w:name w:val="Body text (2)"/>
    <w:qFormat/>
    <w:uiPriority w:val="0"/>
    <w:rPr>
      <w:rFonts w:ascii="Times New Roman" w:hAnsi="Times New Roman"/>
      <w:color w:val="000000"/>
      <w:spacing w:val="0"/>
      <w:w w:val="100"/>
      <w:position w:val="0"/>
      <w:sz w:val="26"/>
      <w:u w:val="none"/>
      <w:lang w:val="vi-VN" w:eastAsia="vi-VN"/>
    </w:rPr>
  </w:style>
  <w:style w:type="character" w:customStyle="1" w:styleId="193">
    <w:name w:val="fontstyle21"/>
    <w:basedOn w:val="11"/>
    <w:qFormat/>
    <w:uiPriority w:val="0"/>
    <w:rPr>
      <w:rFonts w:hint="default" w:ascii="Times New Roman" w:hAnsi="Times New Roman" w:cs="Times New Roman"/>
      <w:color w:val="000000"/>
      <w:sz w:val="28"/>
      <w:szCs w:val="28"/>
    </w:rPr>
  </w:style>
  <w:style w:type="character" w:customStyle="1" w:styleId="194">
    <w:name w:val="fontstyle31"/>
    <w:basedOn w:val="11"/>
    <w:qFormat/>
    <w:uiPriority w:val="0"/>
    <w:rPr>
      <w:rFonts w:hint="default" w:ascii="Times New Roman" w:hAnsi="Times New Roman" w:cs="Times New Roman"/>
      <w:b/>
      <w:bCs/>
      <w:i/>
      <w:iCs/>
      <w:color w:val="000000"/>
      <w:sz w:val="28"/>
      <w:szCs w:val="28"/>
    </w:rPr>
  </w:style>
  <w:style w:type="character" w:customStyle="1" w:styleId="195">
    <w:name w:val="t286pc"/>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0250B0-8B75-447D-96D4-A71ECE19AB4C}">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9</Pages>
  <Words>4581</Words>
  <Characters>16043</Characters>
  <Lines>121</Lines>
  <Paragraphs>34</Paragraphs>
  <TotalTime>3</TotalTime>
  <ScaleCrop>false</ScaleCrop>
  <LinksUpToDate>false</LinksUpToDate>
  <CharactersWithSpaces>20589</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2026-05-27T10:03:00Z</dcterms:created>
  <dc:creator>Windows User</dc:creator>
  <cp:lastModifiedBy>STMTLS</cp:lastModifiedBy>
  <cp:lastPrinted>2026-06-10T00:42:28Z</cp:lastPrinted>
  <dcterms:modified xsi:type="dcterms:W3CDTF">2026-06-10T00:44:16Z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eyJoZGlkIjoiMDA2YmZmYjJmMGFlN2M2MjRmNjc1YWUxNzJlM2JiMWEifQ==</vt:lpwstr>
  </property>
  <property fmtid="{D5CDD505-2E9C-101B-9397-08002B2CF9AE}" pid="3" name="KSOProductBuildVer">
    <vt:lpwstr>1033-12.1.0.26880</vt:lpwstr>
  </property>
  <property fmtid="{D5CDD505-2E9C-101B-9397-08002B2CF9AE}" pid="4" name="ICV">
    <vt:lpwstr>DBC02863206343C49B78A53A69EE266A_12</vt:lpwstr>
  </property>
</Properties>
</file>